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F003" w14:textId="77777777" w:rsidR="004C2C5A" w:rsidRPr="00BA249D" w:rsidRDefault="004C2C5A" w:rsidP="004C2C5A">
      <w:pPr>
        <w:pStyle w:val="Heading1"/>
        <w:spacing w:before="0" w:after="0"/>
        <w:ind w:left="-426"/>
        <w:rPr>
          <w:sz w:val="20"/>
          <w:szCs w:val="20"/>
        </w:rPr>
      </w:pPr>
    </w:p>
    <w:p w14:paraId="3F3333EC" w14:textId="42608271" w:rsidR="003A67B6" w:rsidRPr="0058455A" w:rsidRDefault="003A67B6" w:rsidP="00BA249D">
      <w:pPr>
        <w:pStyle w:val="Heading1"/>
        <w:spacing w:after="240"/>
        <w:ind w:left="-425"/>
      </w:pPr>
      <w:r>
        <w:t>Ethical Supplier Threshold – e</w:t>
      </w:r>
      <w:r w:rsidRPr="0058455A">
        <w:t>xample</w:t>
      </w:r>
      <w:r>
        <w:t xml:space="preserve"> </w:t>
      </w:r>
      <w:r w:rsidRPr="0058455A">
        <w:t>declaration</w:t>
      </w:r>
    </w:p>
    <w:p w14:paraId="2A5BAB05" w14:textId="77777777" w:rsidR="003A67B6" w:rsidRPr="0058455A" w:rsidRDefault="003A67B6" w:rsidP="00C57670">
      <w:pPr>
        <w:spacing w:before="240" w:after="240" w:line="260" w:lineRule="atLeast"/>
        <w:ind w:left="-425"/>
        <w:rPr>
          <w:rFonts w:cs="Arial"/>
        </w:rPr>
      </w:pPr>
      <w:r w:rsidRPr="0058455A">
        <w:rPr>
          <w:rFonts w:cs="Arial"/>
        </w:rPr>
        <w:t xml:space="preserve">From 1 August 2019 Queensland Government contracts are required to include compliance with the Ethical Supplier Threshold. Most tenders will do so in the form of a declaration that asks the supplier to declare the following (note – this is an example only): </w:t>
      </w:r>
    </w:p>
    <w:tbl>
      <w:tblPr>
        <w:tblW w:w="9747" w:type="dxa"/>
        <w:tblInd w:w="-431" w:type="dxa"/>
        <w:tblBorders>
          <w:top w:val="nil"/>
          <w:left w:val="nil"/>
          <w:bottom w:val="nil"/>
          <w:right w:val="nil"/>
        </w:tblBorders>
        <w:tblLayout w:type="fixed"/>
        <w:tblLook w:val="0000" w:firstRow="0" w:lastRow="0" w:firstColumn="0" w:lastColumn="0" w:noHBand="0" w:noVBand="0"/>
      </w:tblPr>
      <w:tblGrid>
        <w:gridCol w:w="6771"/>
        <w:gridCol w:w="2976"/>
      </w:tblGrid>
      <w:tr w:rsidR="003A67B6" w:rsidRPr="0058455A" w14:paraId="7136078C" w14:textId="77777777" w:rsidTr="004C2C5A">
        <w:trPr>
          <w:trHeight w:val="503"/>
        </w:trPr>
        <w:tc>
          <w:tcPr>
            <w:tcW w:w="6771" w:type="dxa"/>
            <w:tcBorders>
              <w:top w:val="single" w:sz="4" w:space="0" w:color="auto"/>
              <w:left w:val="single" w:sz="4" w:space="0" w:color="auto"/>
              <w:bottom w:val="single" w:sz="4" w:space="0" w:color="auto"/>
              <w:right w:val="single" w:sz="4" w:space="0" w:color="auto"/>
            </w:tcBorders>
            <w:shd w:val="clear" w:color="auto" w:fill="A70240"/>
            <w:vAlign w:val="center"/>
          </w:tcPr>
          <w:p w14:paraId="19BCA0D5" w14:textId="77777777" w:rsidR="003A67B6" w:rsidRPr="0058455A" w:rsidRDefault="003A67B6" w:rsidP="004C2C5A">
            <w:pPr>
              <w:autoSpaceDE w:val="0"/>
              <w:autoSpaceDN w:val="0"/>
              <w:adjustRightInd w:val="0"/>
              <w:spacing w:before="60" w:after="60" w:line="240" w:lineRule="auto"/>
              <w:rPr>
                <w:rFonts w:cs="Arial"/>
                <w:b/>
                <w:bCs/>
                <w:color w:val="FFFFFF" w:themeColor="background1"/>
                <w:sz w:val="22"/>
              </w:rPr>
            </w:pPr>
            <w:r w:rsidRPr="0058455A">
              <w:rPr>
                <w:rFonts w:cs="Arial"/>
                <w:b/>
                <w:bCs/>
                <w:color w:val="FFFFFF" w:themeColor="background1"/>
                <w:sz w:val="22"/>
              </w:rPr>
              <w:t xml:space="preserve">After 1 August 2019, has the Supplier: </w:t>
            </w:r>
          </w:p>
        </w:tc>
        <w:tc>
          <w:tcPr>
            <w:tcW w:w="2976" w:type="dxa"/>
            <w:tcBorders>
              <w:top w:val="single" w:sz="4" w:space="0" w:color="auto"/>
              <w:left w:val="single" w:sz="4" w:space="0" w:color="auto"/>
              <w:bottom w:val="single" w:sz="4" w:space="0" w:color="auto"/>
              <w:right w:val="single" w:sz="4" w:space="0" w:color="auto"/>
            </w:tcBorders>
            <w:shd w:val="clear" w:color="auto" w:fill="A70240"/>
            <w:vAlign w:val="center"/>
          </w:tcPr>
          <w:p w14:paraId="7472BFD3" w14:textId="77777777" w:rsidR="003A67B6" w:rsidRPr="0058455A" w:rsidRDefault="003A67B6" w:rsidP="004C2C5A">
            <w:pPr>
              <w:autoSpaceDE w:val="0"/>
              <w:autoSpaceDN w:val="0"/>
              <w:adjustRightInd w:val="0"/>
              <w:spacing w:before="60" w:after="60" w:line="240" w:lineRule="auto"/>
              <w:jc w:val="center"/>
              <w:rPr>
                <w:rFonts w:cs="Arial"/>
                <w:b/>
                <w:bCs/>
                <w:color w:val="FFFFFF" w:themeColor="background1"/>
                <w:sz w:val="22"/>
              </w:rPr>
            </w:pPr>
            <w:r w:rsidRPr="0058455A">
              <w:rPr>
                <w:rFonts w:cs="Arial"/>
                <w:b/>
                <w:bCs/>
                <w:color w:val="FFFFFF" w:themeColor="background1"/>
                <w:sz w:val="22"/>
              </w:rPr>
              <w:t>(tick one)</w:t>
            </w:r>
          </w:p>
        </w:tc>
      </w:tr>
      <w:tr w:rsidR="003A67B6" w:rsidRPr="0058455A" w14:paraId="7220760C" w14:textId="77777777" w:rsidTr="0031042F">
        <w:trPr>
          <w:trHeight w:val="88"/>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40CC767A" w14:textId="77777777" w:rsidR="003A67B6" w:rsidRPr="0058455A" w:rsidRDefault="003A67B6" w:rsidP="0031042F">
            <w:pPr>
              <w:pStyle w:val="ListParagraph"/>
              <w:numPr>
                <w:ilvl w:val="0"/>
                <w:numId w:val="9"/>
              </w:numPr>
              <w:autoSpaceDE w:val="0"/>
              <w:autoSpaceDN w:val="0"/>
              <w:adjustRightInd w:val="0"/>
              <w:spacing w:before="60" w:line="240" w:lineRule="auto"/>
              <w:ind w:left="459"/>
              <w:rPr>
                <w:rFonts w:cs="Arial"/>
                <w:szCs w:val="20"/>
              </w:rPr>
            </w:pPr>
            <w:r w:rsidRPr="0058455A">
              <w:rPr>
                <w:rFonts w:cs="Arial"/>
                <w:szCs w:val="20"/>
              </w:rPr>
              <w:t xml:space="preserve">contravened a civil remedy provision of Chapter 2 or Chapter 3 of the Fair Work Act 2009 (Cth), or committed an offence against the Fair Work Act?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EEA0075" w14:textId="6C4DC643" w:rsidR="003A67B6" w:rsidRPr="0058455A" w:rsidRDefault="003A67B6" w:rsidP="00944400">
            <w:pPr>
              <w:autoSpaceDE w:val="0"/>
              <w:autoSpaceDN w:val="0"/>
              <w:adjustRightInd w:val="0"/>
              <w:spacing w:before="60" w:after="60" w:line="240" w:lineRule="auto"/>
              <w:jc w:val="center"/>
              <w:rPr>
                <w:rFonts w:cs="Arial"/>
                <w:szCs w:val="20"/>
              </w:rPr>
            </w:pPr>
            <w:r w:rsidRPr="0058455A">
              <w:rPr>
                <w:rFonts w:ascii="Segoe UI Symbol" w:hAnsi="Segoe UI Symbol" w:cs="Segoe UI Symbol"/>
                <w:szCs w:val="20"/>
              </w:rPr>
              <w:t>☐</w:t>
            </w:r>
            <w:r w:rsidRPr="0058455A">
              <w:rPr>
                <w:rFonts w:cs="Arial"/>
                <w:szCs w:val="20"/>
              </w:rPr>
              <w:t xml:space="preserve"> Yes</w:t>
            </w:r>
            <w:r w:rsidR="00BA249D">
              <w:rPr>
                <w:rFonts w:cs="Arial"/>
                <w:szCs w:val="20"/>
              </w:rPr>
              <w:t xml:space="preserve">  </w:t>
            </w:r>
            <w:r w:rsidRPr="0058455A">
              <w:rPr>
                <w:rFonts w:cs="Arial"/>
                <w:szCs w:val="20"/>
              </w:rPr>
              <w:t xml:space="preserve"> </w:t>
            </w:r>
            <w:r w:rsidRPr="0058455A">
              <w:rPr>
                <w:rFonts w:ascii="Segoe UI Symbol" w:hAnsi="Segoe UI Symbol" w:cs="Segoe UI Symbol"/>
                <w:szCs w:val="20"/>
              </w:rPr>
              <w:t>☐</w:t>
            </w:r>
            <w:r w:rsidRPr="0058455A">
              <w:rPr>
                <w:rFonts w:cs="Arial"/>
                <w:szCs w:val="20"/>
              </w:rPr>
              <w:t xml:space="preserve"> No</w:t>
            </w:r>
          </w:p>
        </w:tc>
      </w:tr>
      <w:tr w:rsidR="003A67B6" w:rsidRPr="0058455A" w14:paraId="4C22004C" w14:textId="77777777" w:rsidTr="0031042F">
        <w:trPr>
          <w:trHeight w:val="88"/>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625D99C7" w14:textId="77777777" w:rsidR="003A67B6" w:rsidRPr="0058455A" w:rsidRDefault="003A67B6" w:rsidP="0031042F">
            <w:pPr>
              <w:pStyle w:val="ListParagraph"/>
              <w:numPr>
                <w:ilvl w:val="0"/>
                <w:numId w:val="9"/>
              </w:numPr>
              <w:autoSpaceDE w:val="0"/>
              <w:autoSpaceDN w:val="0"/>
              <w:adjustRightInd w:val="0"/>
              <w:spacing w:before="60" w:line="240" w:lineRule="auto"/>
              <w:ind w:left="459"/>
              <w:rPr>
                <w:rFonts w:cs="Arial"/>
                <w:szCs w:val="20"/>
              </w:rPr>
            </w:pPr>
            <w:r w:rsidRPr="0058455A">
              <w:rPr>
                <w:rFonts w:cs="Arial"/>
                <w:szCs w:val="20"/>
              </w:rPr>
              <w:t xml:space="preserve">contravened a civil remedy provision of Chapter 2, 3, 4, 5, or 7 of the Industrial Relations Act 2016, or committed an offence against the Industrial Relations Act, or failed to pay employment related levies, or other payments, established under Queensland legislation?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BE14507" w14:textId="0BBF3ACF" w:rsidR="003A67B6" w:rsidRPr="0058455A" w:rsidRDefault="003A67B6" w:rsidP="00944400">
            <w:pPr>
              <w:autoSpaceDE w:val="0"/>
              <w:autoSpaceDN w:val="0"/>
              <w:adjustRightInd w:val="0"/>
              <w:spacing w:before="60" w:after="60" w:line="240" w:lineRule="auto"/>
              <w:jc w:val="center"/>
              <w:rPr>
                <w:rFonts w:cs="Arial"/>
                <w:szCs w:val="20"/>
              </w:rPr>
            </w:pPr>
            <w:r w:rsidRPr="0058455A">
              <w:rPr>
                <w:rFonts w:ascii="Segoe UI Symbol" w:hAnsi="Segoe UI Symbol" w:cs="Segoe UI Symbol"/>
                <w:szCs w:val="20"/>
              </w:rPr>
              <w:t>☐</w:t>
            </w:r>
            <w:r w:rsidRPr="0058455A">
              <w:rPr>
                <w:rFonts w:cs="Arial"/>
                <w:szCs w:val="20"/>
              </w:rPr>
              <w:t xml:space="preserve"> Yes</w:t>
            </w:r>
            <w:r w:rsidR="00BA249D">
              <w:rPr>
                <w:rFonts w:cs="Arial"/>
                <w:szCs w:val="20"/>
              </w:rPr>
              <w:t xml:space="preserve">  </w:t>
            </w:r>
            <w:r w:rsidRPr="0058455A">
              <w:rPr>
                <w:rFonts w:cs="Arial"/>
                <w:szCs w:val="20"/>
              </w:rPr>
              <w:t xml:space="preserve"> </w:t>
            </w:r>
            <w:r w:rsidRPr="0058455A">
              <w:rPr>
                <w:rFonts w:ascii="Segoe UI Symbol" w:hAnsi="Segoe UI Symbol" w:cs="Segoe UI Symbol"/>
                <w:szCs w:val="20"/>
              </w:rPr>
              <w:t>☐</w:t>
            </w:r>
            <w:r w:rsidRPr="0058455A">
              <w:rPr>
                <w:rFonts w:cs="Arial"/>
                <w:szCs w:val="20"/>
              </w:rPr>
              <w:t xml:space="preserve"> No</w:t>
            </w:r>
          </w:p>
        </w:tc>
      </w:tr>
      <w:tr w:rsidR="003A67B6" w:rsidRPr="0058455A" w14:paraId="549BD0B1" w14:textId="77777777" w:rsidTr="0031042F">
        <w:trPr>
          <w:trHeight w:val="88"/>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4F724CE2" w14:textId="77777777" w:rsidR="003A67B6" w:rsidRPr="0058455A" w:rsidRDefault="003A67B6" w:rsidP="0031042F">
            <w:pPr>
              <w:pStyle w:val="ListParagraph"/>
              <w:numPr>
                <w:ilvl w:val="0"/>
                <w:numId w:val="9"/>
              </w:numPr>
              <w:autoSpaceDE w:val="0"/>
              <w:autoSpaceDN w:val="0"/>
              <w:adjustRightInd w:val="0"/>
              <w:spacing w:before="60" w:line="240" w:lineRule="auto"/>
              <w:ind w:left="459"/>
              <w:rPr>
                <w:rFonts w:cs="Arial"/>
                <w:szCs w:val="20"/>
              </w:rPr>
            </w:pPr>
            <w:r w:rsidRPr="0058455A">
              <w:rPr>
                <w:rFonts w:cs="Arial"/>
                <w:szCs w:val="20"/>
              </w:rPr>
              <w:t xml:space="preserve">failed to make superannuation contributions on behalf of employees in accordance with law?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EFC5BCE" w14:textId="277F7BCB" w:rsidR="003A67B6" w:rsidRPr="0058455A" w:rsidRDefault="003A67B6" w:rsidP="00944400">
            <w:pPr>
              <w:autoSpaceDE w:val="0"/>
              <w:autoSpaceDN w:val="0"/>
              <w:adjustRightInd w:val="0"/>
              <w:spacing w:before="60" w:after="60" w:line="240" w:lineRule="auto"/>
              <w:jc w:val="center"/>
              <w:rPr>
                <w:rFonts w:cs="Arial"/>
                <w:szCs w:val="20"/>
              </w:rPr>
            </w:pPr>
            <w:r w:rsidRPr="0058455A">
              <w:rPr>
                <w:rFonts w:ascii="Segoe UI Symbol" w:hAnsi="Segoe UI Symbol" w:cs="Segoe UI Symbol"/>
                <w:szCs w:val="20"/>
              </w:rPr>
              <w:t>☐</w:t>
            </w:r>
            <w:r w:rsidRPr="0058455A">
              <w:rPr>
                <w:rFonts w:cs="Arial"/>
                <w:szCs w:val="20"/>
              </w:rPr>
              <w:t xml:space="preserve"> Yes</w:t>
            </w:r>
            <w:r w:rsidR="00BA249D">
              <w:rPr>
                <w:rFonts w:cs="Arial"/>
                <w:szCs w:val="20"/>
              </w:rPr>
              <w:t xml:space="preserve">  </w:t>
            </w:r>
            <w:r w:rsidRPr="0058455A">
              <w:rPr>
                <w:rFonts w:cs="Arial"/>
                <w:szCs w:val="20"/>
              </w:rPr>
              <w:t xml:space="preserve"> </w:t>
            </w:r>
            <w:r w:rsidRPr="0058455A">
              <w:rPr>
                <w:rFonts w:ascii="Segoe UI Symbol" w:hAnsi="Segoe UI Symbol" w:cs="Segoe UI Symbol"/>
                <w:szCs w:val="20"/>
              </w:rPr>
              <w:t>☐</w:t>
            </w:r>
            <w:r w:rsidRPr="0058455A">
              <w:rPr>
                <w:rFonts w:cs="Arial"/>
                <w:szCs w:val="20"/>
              </w:rPr>
              <w:t xml:space="preserve"> No</w:t>
            </w:r>
          </w:p>
          <w:p w14:paraId="625AE8A4" w14:textId="77777777" w:rsidR="003A67B6" w:rsidRPr="0058455A" w:rsidRDefault="003A67B6" w:rsidP="00944400">
            <w:pPr>
              <w:autoSpaceDE w:val="0"/>
              <w:autoSpaceDN w:val="0"/>
              <w:adjustRightInd w:val="0"/>
              <w:spacing w:before="60" w:after="60" w:line="240" w:lineRule="auto"/>
              <w:jc w:val="center"/>
              <w:rPr>
                <w:rFonts w:cs="Arial"/>
                <w:szCs w:val="20"/>
              </w:rPr>
            </w:pPr>
          </w:p>
        </w:tc>
      </w:tr>
      <w:tr w:rsidR="003A67B6" w:rsidRPr="0058455A" w14:paraId="31069251" w14:textId="77777777" w:rsidTr="0031042F">
        <w:trPr>
          <w:trHeight w:val="88"/>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78A1EC77" w14:textId="77777777" w:rsidR="003A67B6" w:rsidRPr="0058455A" w:rsidRDefault="003A67B6" w:rsidP="0031042F">
            <w:pPr>
              <w:pStyle w:val="ListParagraph"/>
              <w:numPr>
                <w:ilvl w:val="0"/>
                <w:numId w:val="9"/>
              </w:numPr>
              <w:autoSpaceDE w:val="0"/>
              <w:autoSpaceDN w:val="0"/>
              <w:adjustRightInd w:val="0"/>
              <w:spacing w:before="60" w:line="240" w:lineRule="auto"/>
              <w:ind w:left="459"/>
              <w:rPr>
                <w:rFonts w:cs="Arial"/>
                <w:szCs w:val="20"/>
              </w:rPr>
            </w:pPr>
            <w:r w:rsidRPr="0058455A">
              <w:rPr>
                <w:rFonts w:cs="Arial"/>
                <w:szCs w:val="20"/>
              </w:rPr>
              <w:t>purported to treat employees as independent contractors, where they are not?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6F98D15" w14:textId="49035291" w:rsidR="003A67B6" w:rsidRPr="0058455A" w:rsidRDefault="003A67B6" w:rsidP="00944400">
            <w:pPr>
              <w:autoSpaceDE w:val="0"/>
              <w:autoSpaceDN w:val="0"/>
              <w:adjustRightInd w:val="0"/>
              <w:spacing w:before="60" w:after="60" w:line="240" w:lineRule="auto"/>
              <w:jc w:val="center"/>
              <w:rPr>
                <w:rFonts w:cs="Arial"/>
                <w:szCs w:val="20"/>
              </w:rPr>
            </w:pPr>
            <w:r w:rsidRPr="0058455A">
              <w:rPr>
                <w:rFonts w:ascii="Segoe UI Symbol" w:hAnsi="Segoe UI Symbol" w:cs="Segoe UI Symbol"/>
                <w:szCs w:val="20"/>
              </w:rPr>
              <w:t>☐</w:t>
            </w:r>
            <w:r w:rsidRPr="0058455A">
              <w:rPr>
                <w:rFonts w:cs="Arial"/>
                <w:szCs w:val="20"/>
              </w:rPr>
              <w:t xml:space="preserve"> Yes</w:t>
            </w:r>
            <w:r w:rsidR="00BA249D">
              <w:rPr>
                <w:rFonts w:cs="Arial"/>
                <w:szCs w:val="20"/>
              </w:rPr>
              <w:t xml:space="preserve">  </w:t>
            </w:r>
            <w:r w:rsidRPr="0058455A">
              <w:rPr>
                <w:rFonts w:cs="Arial"/>
                <w:szCs w:val="20"/>
              </w:rPr>
              <w:t xml:space="preserve"> </w:t>
            </w:r>
            <w:r w:rsidRPr="0058455A">
              <w:rPr>
                <w:rFonts w:ascii="Segoe UI Symbol" w:hAnsi="Segoe UI Symbol" w:cs="Segoe UI Symbol"/>
                <w:szCs w:val="20"/>
              </w:rPr>
              <w:t>☐</w:t>
            </w:r>
            <w:r w:rsidRPr="0058455A">
              <w:rPr>
                <w:rFonts w:cs="Arial"/>
                <w:szCs w:val="20"/>
              </w:rPr>
              <w:t xml:space="preserve"> No</w:t>
            </w:r>
          </w:p>
          <w:p w14:paraId="5EA66892" w14:textId="77777777" w:rsidR="003A67B6" w:rsidRPr="0058455A" w:rsidRDefault="003A67B6" w:rsidP="00944400">
            <w:pPr>
              <w:autoSpaceDE w:val="0"/>
              <w:autoSpaceDN w:val="0"/>
              <w:adjustRightInd w:val="0"/>
              <w:spacing w:before="60" w:after="60" w:line="240" w:lineRule="auto"/>
              <w:jc w:val="center"/>
              <w:rPr>
                <w:rFonts w:cs="Arial"/>
                <w:szCs w:val="20"/>
              </w:rPr>
            </w:pPr>
          </w:p>
        </w:tc>
      </w:tr>
      <w:tr w:rsidR="003A67B6" w:rsidRPr="0058455A" w14:paraId="7F5AFD66" w14:textId="77777777" w:rsidTr="0031042F">
        <w:trPr>
          <w:trHeight w:val="88"/>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6427E8C4" w14:textId="77777777" w:rsidR="003A67B6" w:rsidRPr="0058455A" w:rsidRDefault="003A67B6" w:rsidP="0031042F">
            <w:pPr>
              <w:pStyle w:val="ListParagraph"/>
              <w:numPr>
                <w:ilvl w:val="0"/>
                <w:numId w:val="9"/>
              </w:numPr>
              <w:autoSpaceDE w:val="0"/>
              <w:autoSpaceDN w:val="0"/>
              <w:adjustRightInd w:val="0"/>
              <w:spacing w:before="60" w:line="240" w:lineRule="auto"/>
              <w:ind w:left="459"/>
              <w:rPr>
                <w:rFonts w:cs="Arial"/>
                <w:szCs w:val="20"/>
              </w:rPr>
            </w:pPr>
            <w:r w:rsidRPr="0058455A">
              <w:rPr>
                <w:rFonts w:cs="Arial"/>
              </w:rPr>
              <w:t>required persons who would otherwise be employees to provide an Australian Business Number so that they could be treated as independent contractors?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A19A202" w14:textId="0B49DC99" w:rsidR="003A67B6" w:rsidRPr="0058455A" w:rsidRDefault="003A67B6" w:rsidP="00944400">
            <w:pPr>
              <w:autoSpaceDE w:val="0"/>
              <w:autoSpaceDN w:val="0"/>
              <w:adjustRightInd w:val="0"/>
              <w:spacing w:before="60" w:after="60" w:line="240" w:lineRule="auto"/>
              <w:jc w:val="center"/>
              <w:rPr>
                <w:rFonts w:cs="Arial"/>
                <w:szCs w:val="20"/>
              </w:rPr>
            </w:pPr>
            <w:r w:rsidRPr="0058455A">
              <w:rPr>
                <w:rFonts w:ascii="Segoe UI Symbol" w:hAnsi="Segoe UI Symbol" w:cs="Segoe UI Symbol"/>
                <w:szCs w:val="20"/>
              </w:rPr>
              <w:t>☐</w:t>
            </w:r>
            <w:r w:rsidRPr="0058455A">
              <w:rPr>
                <w:rFonts w:cs="Arial"/>
                <w:szCs w:val="20"/>
              </w:rPr>
              <w:t xml:space="preserve"> Yes</w:t>
            </w:r>
            <w:r w:rsidR="00BA249D">
              <w:rPr>
                <w:rFonts w:cs="Arial"/>
                <w:szCs w:val="20"/>
              </w:rPr>
              <w:t xml:space="preserve">  </w:t>
            </w:r>
            <w:r w:rsidRPr="0058455A">
              <w:rPr>
                <w:rFonts w:cs="Arial"/>
                <w:szCs w:val="20"/>
              </w:rPr>
              <w:t xml:space="preserve"> </w:t>
            </w:r>
            <w:r w:rsidRPr="0058455A">
              <w:rPr>
                <w:rFonts w:ascii="Segoe UI Symbol" w:hAnsi="Segoe UI Symbol" w:cs="Segoe UI Symbol"/>
                <w:szCs w:val="20"/>
              </w:rPr>
              <w:t>☐</w:t>
            </w:r>
            <w:r w:rsidRPr="0058455A">
              <w:rPr>
                <w:rFonts w:cs="Arial"/>
                <w:szCs w:val="20"/>
              </w:rPr>
              <w:t xml:space="preserve"> No</w:t>
            </w:r>
          </w:p>
          <w:p w14:paraId="74691BC3" w14:textId="77777777" w:rsidR="003A67B6" w:rsidRPr="0058455A" w:rsidRDefault="003A67B6" w:rsidP="00944400">
            <w:pPr>
              <w:autoSpaceDE w:val="0"/>
              <w:autoSpaceDN w:val="0"/>
              <w:adjustRightInd w:val="0"/>
              <w:spacing w:before="60" w:after="60" w:line="240" w:lineRule="auto"/>
              <w:jc w:val="center"/>
              <w:rPr>
                <w:rFonts w:ascii="Segoe UI Symbol" w:hAnsi="Segoe UI Symbol" w:cs="Segoe UI Symbol"/>
                <w:szCs w:val="20"/>
              </w:rPr>
            </w:pPr>
          </w:p>
        </w:tc>
      </w:tr>
      <w:tr w:rsidR="003A67B6" w:rsidRPr="0058455A" w14:paraId="0D1D9061" w14:textId="77777777" w:rsidTr="0031042F">
        <w:trPr>
          <w:trHeight w:val="88"/>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60B8321B" w14:textId="77777777" w:rsidR="003A67B6" w:rsidRPr="0058455A" w:rsidRDefault="003A67B6" w:rsidP="0031042F">
            <w:pPr>
              <w:pStyle w:val="ListParagraph"/>
              <w:numPr>
                <w:ilvl w:val="0"/>
                <w:numId w:val="9"/>
              </w:numPr>
              <w:autoSpaceDE w:val="0"/>
              <w:autoSpaceDN w:val="0"/>
              <w:adjustRightInd w:val="0"/>
              <w:spacing w:before="60" w:line="240" w:lineRule="auto"/>
              <w:ind w:left="459"/>
              <w:rPr>
                <w:rFonts w:cs="Arial"/>
                <w:szCs w:val="20"/>
              </w:rPr>
            </w:pPr>
            <w:r w:rsidRPr="0058455A">
              <w:rPr>
                <w:rFonts w:cs="Arial"/>
                <w:szCs w:val="20"/>
              </w:rPr>
              <w:t xml:space="preserve">engaged persons on unpaid work trials or as unpaid interns, where they should be treated as employees?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5671FFC" w14:textId="499B06C2" w:rsidR="003A67B6" w:rsidRPr="0058455A" w:rsidRDefault="003A67B6" w:rsidP="00944400">
            <w:pPr>
              <w:autoSpaceDE w:val="0"/>
              <w:autoSpaceDN w:val="0"/>
              <w:adjustRightInd w:val="0"/>
              <w:spacing w:before="60" w:after="60" w:line="240" w:lineRule="auto"/>
              <w:jc w:val="center"/>
              <w:rPr>
                <w:rFonts w:cs="Arial"/>
                <w:szCs w:val="20"/>
              </w:rPr>
            </w:pPr>
            <w:r w:rsidRPr="0058455A">
              <w:rPr>
                <w:rFonts w:ascii="Segoe UI Symbol" w:hAnsi="Segoe UI Symbol" w:cs="Segoe UI Symbol"/>
                <w:szCs w:val="20"/>
              </w:rPr>
              <w:t>☐</w:t>
            </w:r>
            <w:r w:rsidRPr="0058455A">
              <w:rPr>
                <w:rFonts w:cs="Arial"/>
                <w:szCs w:val="20"/>
              </w:rPr>
              <w:t xml:space="preserve"> Yes</w:t>
            </w:r>
            <w:r w:rsidR="00BA249D">
              <w:rPr>
                <w:rFonts w:cs="Arial"/>
                <w:szCs w:val="20"/>
              </w:rPr>
              <w:t xml:space="preserve">  </w:t>
            </w:r>
            <w:r w:rsidRPr="0058455A">
              <w:rPr>
                <w:rFonts w:cs="Arial"/>
                <w:szCs w:val="20"/>
              </w:rPr>
              <w:t xml:space="preserve"> </w:t>
            </w:r>
            <w:r w:rsidRPr="0058455A">
              <w:rPr>
                <w:rFonts w:ascii="Segoe UI Symbol" w:hAnsi="Segoe UI Symbol" w:cs="Segoe UI Symbol"/>
                <w:szCs w:val="20"/>
              </w:rPr>
              <w:t>☐</w:t>
            </w:r>
            <w:r w:rsidRPr="0058455A">
              <w:rPr>
                <w:rFonts w:cs="Arial"/>
                <w:szCs w:val="20"/>
              </w:rPr>
              <w:t xml:space="preserve"> No</w:t>
            </w:r>
          </w:p>
          <w:p w14:paraId="3042C8C9" w14:textId="77777777" w:rsidR="003A67B6" w:rsidRPr="0058455A" w:rsidRDefault="003A67B6" w:rsidP="00944400">
            <w:pPr>
              <w:autoSpaceDE w:val="0"/>
              <w:autoSpaceDN w:val="0"/>
              <w:adjustRightInd w:val="0"/>
              <w:spacing w:before="60" w:after="60" w:line="240" w:lineRule="auto"/>
              <w:jc w:val="center"/>
              <w:rPr>
                <w:rFonts w:cs="Arial"/>
                <w:szCs w:val="20"/>
              </w:rPr>
            </w:pPr>
          </w:p>
        </w:tc>
      </w:tr>
      <w:tr w:rsidR="003A67B6" w:rsidRPr="0058455A" w14:paraId="4D2C534A" w14:textId="77777777" w:rsidTr="0031042F">
        <w:trPr>
          <w:trHeight w:val="88"/>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4238860C" w14:textId="77777777" w:rsidR="003A67B6" w:rsidRPr="0058455A" w:rsidRDefault="003A67B6" w:rsidP="0031042F">
            <w:pPr>
              <w:pStyle w:val="ListParagraph"/>
              <w:numPr>
                <w:ilvl w:val="0"/>
                <w:numId w:val="9"/>
              </w:numPr>
              <w:autoSpaceDE w:val="0"/>
              <w:autoSpaceDN w:val="0"/>
              <w:adjustRightInd w:val="0"/>
              <w:spacing w:before="60" w:line="240" w:lineRule="auto"/>
              <w:ind w:left="459"/>
              <w:rPr>
                <w:rFonts w:cs="Arial"/>
                <w:szCs w:val="20"/>
              </w:rPr>
            </w:pPr>
            <w:r w:rsidRPr="0058455A">
              <w:rPr>
                <w:rFonts w:cs="Arial"/>
                <w:szCs w:val="20"/>
              </w:rPr>
              <w:t xml:space="preserve">entered into an arrangement for the provision of labour hire services with a person who is not licensed under the Labour Hire Licensing Act 2017 (Qld), or a supplier who is an unlicensed provider under the Labour Hire Licensing Act?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D7B45AA" w14:textId="6BA0DA2A" w:rsidR="003A67B6" w:rsidRPr="0058455A" w:rsidRDefault="003A67B6" w:rsidP="00944400">
            <w:pPr>
              <w:autoSpaceDE w:val="0"/>
              <w:autoSpaceDN w:val="0"/>
              <w:adjustRightInd w:val="0"/>
              <w:spacing w:before="60" w:after="60" w:line="240" w:lineRule="auto"/>
              <w:jc w:val="center"/>
              <w:rPr>
                <w:rFonts w:cs="Arial"/>
                <w:szCs w:val="20"/>
              </w:rPr>
            </w:pPr>
            <w:r w:rsidRPr="0058455A">
              <w:rPr>
                <w:rFonts w:ascii="Segoe UI Symbol" w:hAnsi="Segoe UI Symbol" w:cs="Segoe UI Symbol"/>
                <w:szCs w:val="20"/>
              </w:rPr>
              <w:t>☐</w:t>
            </w:r>
            <w:r w:rsidRPr="0058455A">
              <w:rPr>
                <w:rFonts w:cs="Arial"/>
                <w:szCs w:val="20"/>
              </w:rPr>
              <w:t xml:space="preserve"> Yes</w:t>
            </w:r>
            <w:r w:rsidR="00BA249D">
              <w:rPr>
                <w:rFonts w:cs="Arial"/>
                <w:szCs w:val="20"/>
              </w:rPr>
              <w:t xml:space="preserve">  </w:t>
            </w:r>
            <w:r w:rsidRPr="0058455A">
              <w:rPr>
                <w:rFonts w:cs="Arial"/>
                <w:szCs w:val="20"/>
              </w:rPr>
              <w:t xml:space="preserve"> </w:t>
            </w:r>
            <w:r w:rsidRPr="0058455A">
              <w:rPr>
                <w:rFonts w:ascii="Segoe UI Symbol" w:hAnsi="Segoe UI Symbol" w:cs="Segoe UI Symbol"/>
                <w:szCs w:val="20"/>
              </w:rPr>
              <w:t>☐</w:t>
            </w:r>
            <w:r w:rsidRPr="0058455A">
              <w:rPr>
                <w:rFonts w:cs="Arial"/>
                <w:szCs w:val="20"/>
              </w:rPr>
              <w:t xml:space="preserve"> No</w:t>
            </w:r>
          </w:p>
        </w:tc>
      </w:tr>
      <w:tr w:rsidR="003A67B6" w:rsidRPr="0058455A" w14:paraId="3A89A85F" w14:textId="77777777" w:rsidTr="0031042F">
        <w:trPr>
          <w:trHeight w:val="88"/>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38841121" w14:textId="77777777" w:rsidR="003A67B6" w:rsidRPr="0058455A" w:rsidRDefault="003A67B6" w:rsidP="0031042F">
            <w:pPr>
              <w:pStyle w:val="ListParagraph"/>
              <w:numPr>
                <w:ilvl w:val="0"/>
                <w:numId w:val="9"/>
              </w:numPr>
              <w:autoSpaceDE w:val="0"/>
              <w:autoSpaceDN w:val="0"/>
              <w:adjustRightInd w:val="0"/>
              <w:spacing w:before="60" w:line="240" w:lineRule="auto"/>
              <w:ind w:left="459"/>
              <w:rPr>
                <w:rFonts w:cs="Arial"/>
                <w:szCs w:val="20"/>
              </w:rPr>
            </w:pPr>
            <w:r w:rsidRPr="0058455A">
              <w:rPr>
                <w:rFonts w:cs="Arial"/>
                <w:szCs w:val="20"/>
              </w:rPr>
              <w:t xml:space="preserve">paid employees’ wages below those provided for in an applicable modern award?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D91F143" w14:textId="322A5B89" w:rsidR="003A67B6" w:rsidRPr="0058455A" w:rsidRDefault="003A67B6" w:rsidP="00944400">
            <w:pPr>
              <w:autoSpaceDE w:val="0"/>
              <w:autoSpaceDN w:val="0"/>
              <w:adjustRightInd w:val="0"/>
              <w:spacing w:before="60" w:after="60" w:line="240" w:lineRule="auto"/>
              <w:jc w:val="center"/>
              <w:rPr>
                <w:rFonts w:cs="Arial"/>
                <w:szCs w:val="20"/>
              </w:rPr>
            </w:pPr>
            <w:r w:rsidRPr="0058455A">
              <w:rPr>
                <w:rFonts w:ascii="Segoe UI Symbol" w:hAnsi="Segoe UI Symbol" w:cs="Segoe UI Symbol"/>
                <w:szCs w:val="20"/>
              </w:rPr>
              <w:t>☐</w:t>
            </w:r>
            <w:r w:rsidRPr="0058455A">
              <w:rPr>
                <w:rFonts w:cs="Arial"/>
                <w:szCs w:val="20"/>
              </w:rPr>
              <w:t xml:space="preserve"> Yes</w:t>
            </w:r>
            <w:r w:rsidR="00BA249D">
              <w:rPr>
                <w:rFonts w:cs="Arial"/>
                <w:szCs w:val="20"/>
              </w:rPr>
              <w:t xml:space="preserve">  </w:t>
            </w:r>
            <w:r w:rsidRPr="0058455A">
              <w:rPr>
                <w:rFonts w:cs="Arial"/>
                <w:szCs w:val="20"/>
              </w:rPr>
              <w:t xml:space="preserve"> </w:t>
            </w:r>
            <w:r w:rsidRPr="0058455A">
              <w:rPr>
                <w:rFonts w:ascii="Segoe UI Symbol" w:hAnsi="Segoe UI Symbol" w:cs="Segoe UI Symbol"/>
                <w:szCs w:val="20"/>
              </w:rPr>
              <w:t>☐</w:t>
            </w:r>
            <w:r w:rsidRPr="0058455A">
              <w:rPr>
                <w:rFonts w:cs="Arial"/>
                <w:szCs w:val="20"/>
              </w:rPr>
              <w:t xml:space="preserve"> No</w:t>
            </w:r>
          </w:p>
          <w:p w14:paraId="22E15BC0" w14:textId="77777777" w:rsidR="003A67B6" w:rsidRPr="0058455A" w:rsidRDefault="003A67B6" w:rsidP="00944400">
            <w:pPr>
              <w:autoSpaceDE w:val="0"/>
              <w:autoSpaceDN w:val="0"/>
              <w:adjustRightInd w:val="0"/>
              <w:spacing w:before="60" w:after="60" w:line="240" w:lineRule="auto"/>
              <w:jc w:val="center"/>
              <w:rPr>
                <w:rFonts w:cs="Arial"/>
                <w:szCs w:val="20"/>
              </w:rPr>
            </w:pPr>
          </w:p>
        </w:tc>
      </w:tr>
      <w:tr w:rsidR="003A67B6" w:rsidRPr="0058455A" w14:paraId="3383C990" w14:textId="77777777" w:rsidTr="0031042F">
        <w:trPr>
          <w:trHeight w:val="917"/>
        </w:trPr>
        <w:tc>
          <w:tcPr>
            <w:tcW w:w="677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E0D1343" w14:textId="034225F6" w:rsidR="003A67B6" w:rsidRPr="0058455A" w:rsidRDefault="005941EA" w:rsidP="00944400">
            <w:pPr>
              <w:autoSpaceDE w:val="0"/>
              <w:autoSpaceDN w:val="0"/>
              <w:adjustRightInd w:val="0"/>
              <w:spacing w:before="60" w:after="60" w:line="240" w:lineRule="auto"/>
              <w:rPr>
                <w:rFonts w:cs="Arial"/>
                <w:color w:val="FFFFFF" w:themeColor="background1"/>
                <w:szCs w:val="20"/>
              </w:rPr>
            </w:pPr>
            <w:r w:rsidRPr="00BA00C2">
              <w:rPr>
                <w:rFonts w:cs="Arial"/>
                <w:color w:val="FFFFFF" w:themeColor="background1"/>
                <w:szCs w:val="20"/>
              </w:rPr>
              <w:t>Where a previous ‘yes’ response to the above criteria has been submitted and considered compliant with the policy by a Queensland Government procuring agency, provide the corresponding reference number here: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8351345" w14:textId="4AD9EEDE" w:rsidR="00B029FC" w:rsidRDefault="00B029FC" w:rsidP="00B029FC">
            <w:pPr>
              <w:autoSpaceDE w:val="0"/>
              <w:autoSpaceDN w:val="0"/>
              <w:adjustRightInd w:val="0"/>
              <w:spacing w:before="120" w:after="60" w:line="240" w:lineRule="auto"/>
              <w:jc w:val="center"/>
              <w:rPr>
                <w:rFonts w:cs="Arial"/>
                <w:szCs w:val="20"/>
              </w:rPr>
            </w:pPr>
            <w:r w:rsidRPr="008E5E00">
              <w:rPr>
                <w:rFonts w:cs="Arial"/>
                <w:szCs w:val="20"/>
              </w:rPr>
              <w:t>*Reference number:</w:t>
            </w:r>
          </w:p>
          <w:p w14:paraId="25AD95C3" w14:textId="77777777" w:rsidR="00B029FC" w:rsidRPr="008E5E00" w:rsidRDefault="00B029FC" w:rsidP="00B029FC">
            <w:pPr>
              <w:autoSpaceDE w:val="0"/>
              <w:autoSpaceDN w:val="0"/>
              <w:adjustRightInd w:val="0"/>
              <w:spacing w:before="120" w:after="60" w:line="240" w:lineRule="auto"/>
              <w:jc w:val="center"/>
              <w:rPr>
                <w:rFonts w:cs="Arial"/>
                <w:szCs w:val="20"/>
              </w:rPr>
            </w:pPr>
          </w:p>
          <w:p w14:paraId="7034C559" w14:textId="77777777" w:rsidR="003A67B6" w:rsidRPr="0058455A" w:rsidRDefault="003A67B6" w:rsidP="00944400">
            <w:pPr>
              <w:autoSpaceDE w:val="0"/>
              <w:autoSpaceDN w:val="0"/>
              <w:adjustRightInd w:val="0"/>
              <w:spacing w:before="60" w:after="60" w:line="240" w:lineRule="auto"/>
              <w:jc w:val="center"/>
              <w:rPr>
                <w:rFonts w:cs="Arial"/>
                <w:szCs w:val="20"/>
              </w:rPr>
            </w:pPr>
            <w:r w:rsidRPr="0058455A">
              <w:rPr>
                <w:rFonts w:cs="Arial"/>
                <w:szCs w:val="20"/>
              </w:rPr>
              <w:t>_______________________</w:t>
            </w:r>
          </w:p>
        </w:tc>
      </w:tr>
      <w:tr w:rsidR="003A67B6" w:rsidRPr="0058455A" w14:paraId="7B7837A0" w14:textId="77777777" w:rsidTr="0031042F">
        <w:trPr>
          <w:trHeight w:val="664"/>
        </w:trPr>
        <w:tc>
          <w:tcPr>
            <w:tcW w:w="9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18FACF" w14:textId="77777777" w:rsidR="00EF7EAE" w:rsidRPr="002C13EE" w:rsidRDefault="00EF7EAE" w:rsidP="00EF7EAE">
            <w:pPr>
              <w:autoSpaceDE w:val="0"/>
              <w:autoSpaceDN w:val="0"/>
              <w:adjustRightInd w:val="0"/>
              <w:spacing w:before="60" w:after="60" w:line="260" w:lineRule="atLeast"/>
              <w:rPr>
                <w:rFonts w:eastAsia="Calibri" w:cs="Arial"/>
                <w:b/>
                <w:bCs/>
                <w:color w:val="414042"/>
              </w:rPr>
            </w:pPr>
            <w:r w:rsidRPr="002C13EE">
              <w:rPr>
                <w:rFonts w:eastAsia="Calibri" w:cs="Arial"/>
                <w:b/>
                <w:bCs/>
                <w:color w:val="414042"/>
              </w:rPr>
              <w:t>Compliance information disclosure consent</w:t>
            </w:r>
          </w:p>
          <w:p w14:paraId="195AB802" w14:textId="77777777" w:rsidR="00EF7EAE" w:rsidRPr="002C13EE" w:rsidRDefault="00EF7EAE" w:rsidP="00EF7EAE">
            <w:pPr>
              <w:autoSpaceDE w:val="0"/>
              <w:autoSpaceDN w:val="0"/>
              <w:adjustRightInd w:val="0"/>
              <w:spacing w:before="60" w:after="60" w:line="260" w:lineRule="atLeast"/>
              <w:rPr>
                <w:rFonts w:eastAsia="Calibri" w:cs="Arial"/>
                <w:color w:val="414042"/>
              </w:rPr>
            </w:pPr>
            <w:r w:rsidRPr="002C13EE">
              <w:rPr>
                <w:rFonts w:eastAsia="Calibri" w:cs="Arial"/>
                <w:color w:val="414042"/>
              </w:rPr>
              <w:t xml:space="preserve">In making this declaration, the Supplier certifies that the responses in this form are complete, accurate, up to date and not misleading in any way. The Supplier agrees that the procuring agency or organisation may obtain information from the Supplier or about the Supplier to verify the above information. </w:t>
            </w:r>
          </w:p>
          <w:p w14:paraId="4851F247" w14:textId="77777777" w:rsidR="00EF7EAE" w:rsidRPr="002C13EE" w:rsidRDefault="00EF7EAE" w:rsidP="00EF7EAE">
            <w:pPr>
              <w:autoSpaceDE w:val="0"/>
              <w:autoSpaceDN w:val="0"/>
              <w:adjustRightInd w:val="0"/>
              <w:spacing w:before="60" w:after="60" w:line="260" w:lineRule="atLeast"/>
              <w:rPr>
                <w:rFonts w:eastAsia="Calibri" w:cs="Arial"/>
                <w:color w:val="414042"/>
              </w:rPr>
            </w:pPr>
            <w:r w:rsidRPr="002C13EE">
              <w:rPr>
                <w:rFonts w:eastAsia="Calibri" w:cs="Arial"/>
                <w:color w:val="414042"/>
              </w:rPr>
              <w:t xml:space="preserve">This information may be held by any governmental regulator, for example Work Health Safety Queensland, the Queensland Building and Construction Commission, the Office of Industrial Relations, the Fair Work Commission and the Australian Building and Construction Commission. </w:t>
            </w:r>
          </w:p>
          <w:p w14:paraId="76C84126" w14:textId="0AC86790" w:rsidR="003A67B6" w:rsidRPr="0058455A" w:rsidRDefault="00EF7EAE" w:rsidP="007B5A50">
            <w:pPr>
              <w:autoSpaceDE w:val="0"/>
              <w:autoSpaceDN w:val="0"/>
              <w:adjustRightInd w:val="0"/>
              <w:spacing w:before="60" w:after="120" w:line="240" w:lineRule="auto"/>
              <w:rPr>
                <w:rFonts w:cs="Arial"/>
                <w:color w:val="000000"/>
                <w:szCs w:val="20"/>
              </w:rPr>
            </w:pPr>
            <w:r w:rsidRPr="002C13EE">
              <w:rPr>
                <w:rFonts w:eastAsia="Calibri" w:cs="Arial"/>
                <w:color w:val="414042"/>
              </w:rPr>
              <w:t>The Supplier agrees that the evaluation panel and the procuring agency or organisation may take the information into account in assessing a tender or offer or awarding a Contract.</w:t>
            </w:r>
          </w:p>
        </w:tc>
      </w:tr>
    </w:tbl>
    <w:p w14:paraId="3ED1A0B0" w14:textId="74392FF7" w:rsidR="00A958BB" w:rsidRPr="00DB37AA" w:rsidRDefault="00A958BB" w:rsidP="00EF7EAE">
      <w:pPr>
        <w:pStyle w:val="Heading5"/>
      </w:pPr>
    </w:p>
    <w:sectPr w:rsidR="00A958BB" w:rsidRPr="00DB37AA" w:rsidSect="00756155">
      <w:headerReference w:type="default" r:id="rId10"/>
      <w:footerReference w:type="default" r:id="rId11"/>
      <w:headerReference w:type="first" r:id="rId12"/>
      <w:footerReference w:type="first" r:id="rId13"/>
      <w:pgSz w:w="11906" w:h="16838"/>
      <w:pgMar w:top="101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42F9" w14:textId="77777777" w:rsidR="00C474A9" w:rsidRDefault="00C474A9" w:rsidP="00F752DB">
      <w:pPr>
        <w:spacing w:after="0" w:line="240" w:lineRule="auto"/>
      </w:pPr>
      <w:r>
        <w:separator/>
      </w:r>
    </w:p>
  </w:endnote>
  <w:endnote w:type="continuationSeparator" w:id="0">
    <w:p w14:paraId="0CE2CAD6" w14:textId="77777777" w:rsidR="00C474A9" w:rsidRDefault="00C474A9"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3ABAADFD" w:rsidR="007A7AD0" w:rsidRPr="00381F07" w:rsidRDefault="005A7EB2" w:rsidP="00C96508">
    <w:pPr>
      <w:pStyle w:val="Footer"/>
      <w:pBdr>
        <w:top w:val="single" w:sz="4" w:space="8" w:color="auto"/>
      </w:pBdr>
      <w:spacing w:before="360"/>
      <w:contextualSpacing/>
      <w:rPr>
        <w:noProof/>
        <w:color w:val="404040" w:themeColor="text1" w:themeTint="BF"/>
      </w:rPr>
    </w:pPr>
    <w:r>
      <w:rPr>
        <w:noProof/>
        <w:color w:val="404040" w:themeColor="text1" w:themeTint="BF"/>
      </w:rPr>
      <w:t>Optional footer text</w:t>
    </w: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0265B877" w:rsidR="000140F8" w:rsidRDefault="00DB285C" w:rsidP="00DB285C">
    <w:pPr>
      <w:pStyle w:val="Footer"/>
      <w:tabs>
        <w:tab w:val="clear" w:pos="9026"/>
        <w:tab w:val="right" w:pos="8931"/>
      </w:tabs>
      <w:ind w:right="-472"/>
    </w:pPr>
    <w:r>
      <w:tab/>
    </w:r>
    <w:r>
      <w:tab/>
    </w:r>
    <w:r w:rsidR="000140F8">
      <w:rPr>
        <w:noProof/>
      </w:rPr>
      <w:drawing>
        <wp:inline distT="0" distB="0" distL="0" distR="0" wp14:anchorId="15FDA492" wp14:editId="74D04AD6">
          <wp:extent cx="1543322" cy="504000"/>
          <wp:effectExtent l="0" t="0" r="0" b="0"/>
          <wp:docPr id="18" name="Picture 18"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3322"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8655" w14:textId="77777777" w:rsidR="00C474A9" w:rsidRDefault="00C474A9" w:rsidP="00F752DB">
      <w:pPr>
        <w:spacing w:after="0" w:line="240" w:lineRule="auto"/>
      </w:pPr>
      <w:r>
        <w:separator/>
      </w:r>
    </w:p>
  </w:footnote>
  <w:footnote w:type="continuationSeparator" w:id="0">
    <w:p w14:paraId="0B1822DD" w14:textId="77777777" w:rsidR="00C474A9" w:rsidRDefault="00C474A9"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6A58880A" w:rsidR="00F752DB" w:rsidRPr="00AB0F2F" w:rsidRDefault="00C474A9" w:rsidP="00C96508">
    <w:pPr>
      <w:pStyle w:val="Header"/>
      <w:pBdr>
        <w:bottom w:val="single" w:sz="4" w:space="8" w:color="auto"/>
      </w:pBdr>
      <w:spacing w:after="360"/>
      <w:contextualSpacing/>
      <w:jc w:val="right"/>
      <w:rPr>
        <w:color w:val="404040" w:themeColor="text1" w:themeTint="BF"/>
        <w:sz w:val="16"/>
        <w:szCs w:val="16"/>
      </w:rPr>
    </w:pPr>
    <w:sdt>
      <w:sdtPr>
        <w:rPr>
          <w:color w:val="404040" w:themeColor="text1" w:themeTint="BF"/>
          <w:sz w:val="16"/>
          <w:szCs w:val="16"/>
        </w:rPr>
        <w:alias w:val="Title"/>
        <w:tag w:val=""/>
        <w:id w:val="-906376028"/>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227CE5">
          <w:rPr>
            <w:color w:val="404040" w:themeColor="text1" w:themeTint="BF"/>
            <w:sz w:val="16"/>
            <w:szCs w:val="16"/>
          </w:rPr>
          <w:t>Ethical Supplier Threshold – example declaration</w:t>
        </w:r>
      </w:sdtContent>
    </w:sdt>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26DD8BEE" w:rsidR="000140F8" w:rsidRDefault="002D7BC7" w:rsidP="002F59CF">
    <w:pPr>
      <w:pStyle w:val="Header"/>
      <w:ind w:left="-709"/>
    </w:pPr>
    <w:r>
      <w:rPr>
        <w:noProof/>
      </w:rPr>
      <w:drawing>
        <wp:anchor distT="0" distB="0" distL="114300" distR="114300" simplePos="0" relativeHeight="251658240" behindDoc="1" locked="0" layoutInCell="1" allowOverlap="1" wp14:anchorId="03A16913" wp14:editId="5A664FB5">
          <wp:simplePos x="0" y="0"/>
          <wp:positionH relativeFrom="column">
            <wp:posOffset>-622570</wp:posOffset>
          </wp:positionH>
          <wp:positionV relativeFrom="paragraph">
            <wp:posOffset>-243375</wp:posOffset>
          </wp:positionV>
          <wp:extent cx="6992144" cy="36217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2144" cy="3621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524A"/>
    <w:multiLevelType w:val="hybridMultilevel"/>
    <w:tmpl w:val="B310F8F0"/>
    <w:lvl w:ilvl="0" w:tplc="293C6B56">
      <w:start w:val="1"/>
      <w:numFmt w:val="lowerLetter"/>
      <w:lvlText w:val="%1)"/>
      <w:lvlJc w:val="left"/>
      <w:pPr>
        <w:ind w:left="720" w:hanging="360"/>
      </w:pPr>
      <w:rPr>
        <w:rFonts w:hint="default"/>
        <w:b/>
        <w:bCs w:val="0"/>
        <w:i w:val="0"/>
      </w:rPr>
    </w:lvl>
    <w:lvl w:ilvl="1" w:tplc="51E412A8" w:tentative="1">
      <w:start w:val="1"/>
      <w:numFmt w:val="lowerLetter"/>
      <w:lvlText w:val="%2."/>
      <w:lvlJc w:val="left"/>
      <w:pPr>
        <w:ind w:left="1440" w:hanging="360"/>
      </w:pPr>
    </w:lvl>
    <w:lvl w:ilvl="2" w:tplc="06B806C8" w:tentative="1">
      <w:start w:val="1"/>
      <w:numFmt w:val="lowerRoman"/>
      <w:lvlText w:val="%3."/>
      <w:lvlJc w:val="right"/>
      <w:pPr>
        <w:ind w:left="2160" w:hanging="180"/>
      </w:pPr>
    </w:lvl>
    <w:lvl w:ilvl="3" w:tplc="A93CD642" w:tentative="1">
      <w:start w:val="1"/>
      <w:numFmt w:val="decimal"/>
      <w:lvlText w:val="%4."/>
      <w:lvlJc w:val="left"/>
      <w:pPr>
        <w:ind w:left="2880" w:hanging="360"/>
      </w:pPr>
    </w:lvl>
    <w:lvl w:ilvl="4" w:tplc="5200588C" w:tentative="1">
      <w:start w:val="1"/>
      <w:numFmt w:val="lowerLetter"/>
      <w:lvlText w:val="%5."/>
      <w:lvlJc w:val="left"/>
      <w:pPr>
        <w:ind w:left="3600" w:hanging="360"/>
      </w:pPr>
    </w:lvl>
    <w:lvl w:ilvl="5" w:tplc="582AA42A" w:tentative="1">
      <w:start w:val="1"/>
      <w:numFmt w:val="lowerRoman"/>
      <w:lvlText w:val="%6."/>
      <w:lvlJc w:val="right"/>
      <w:pPr>
        <w:ind w:left="4320" w:hanging="180"/>
      </w:pPr>
    </w:lvl>
    <w:lvl w:ilvl="6" w:tplc="53963650" w:tentative="1">
      <w:start w:val="1"/>
      <w:numFmt w:val="decimal"/>
      <w:lvlText w:val="%7."/>
      <w:lvlJc w:val="left"/>
      <w:pPr>
        <w:ind w:left="5040" w:hanging="360"/>
      </w:pPr>
    </w:lvl>
    <w:lvl w:ilvl="7" w:tplc="E88275A4" w:tentative="1">
      <w:start w:val="1"/>
      <w:numFmt w:val="lowerLetter"/>
      <w:lvlText w:val="%8."/>
      <w:lvlJc w:val="left"/>
      <w:pPr>
        <w:ind w:left="5760" w:hanging="360"/>
      </w:pPr>
    </w:lvl>
    <w:lvl w:ilvl="8" w:tplc="7DE0642E" w:tentative="1">
      <w:start w:val="1"/>
      <w:numFmt w:val="lowerRoman"/>
      <w:lvlText w:val="%9."/>
      <w:lvlJc w:val="right"/>
      <w:pPr>
        <w:ind w:left="6480" w:hanging="180"/>
      </w:p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2"/>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71234"/>
    <w:rsid w:val="000F014F"/>
    <w:rsid w:val="000F4BE1"/>
    <w:rsid w:val="00105D9D"/>
    <w:rsid w:val="00121A79"/>
    <w:rsid w:val="00142FC9"/>
    <w:rsid w:val="0015259F"/>
    <w:rsid w:val="00172C66"/>
    <w:rsid w:val="00194726"/>
    <w:rsid w:val="001A3869"/>
    <w:rsid w:val="001B5456"/>
    <w:rsid w:val="001E31EA"/>
    <w:rsid w:val="00227CE5"/>
    <w:rsid w:val="0026513B"/>
    <w:rsid w:val="002D7BC7"/>
    <w:rsid w:val="002F59CF"/>
    <w:rsid w:val="0031042F"/>
    <w:rsid w:val="00341D35"/>
    <w:rsid w:val="00374805"/>
    <w:rsid w:val="00381F07"/>
    <w:rsid w:val="003A1CD0"/>
    <w:rsid w:val="003A67B6"/>
    <w:rsid w:val="004A0CF6"/>
    <w:rsid w:val="004C2C5A"/>
    <w:rsid w:val="00510B85"/>
    <w:rsid w:val="00552E42"/>
    <w:rsid w:val="00577929"/>
    <w:rsid w:val="00584307"/>
    <w:rsid w:val="005941EA"/>
    <w:rsid w:val="005A7EB2"/>
    <w:rsid w:val="00610D79"/>
    <w:rsid w:val="00641D20"/>
    <w:rsid w:val="0066276F"/>
    <w:rsid w:val="00673C5E"/>
    <w:rsid w:val="006C0892"/>
    <w:rsid w:val="006E2A27"/>
    <w:rsid w:val="00701011"/>
    <w:rsid w:val="00745DBC"/>
    <w:rsid w:val="00756155"/>
    <w:rsid w:val="00784E58"/>
    <w:rsid w:val="007A7AD0"/>
    <w:rsid w:val="007B5A50"/>
    <w:rsid w:val="007C75D0"/>
    <w:rsid w:val="00847102"/>
    <w:rsid w:val="009908A1"/>
    <w:rsid w:val="00A253AD"/>
    <w:rsid w:val="00A832E8"/>
    <w:rsid w:val="00A958BB"/>
    <w:rsid w:val="00AB0F2F"/>
    <w:rsid w:val="00B029FC"/>
    <w:rsid w:val="00B118E7"/>
    <w:rsid w:val="00B16FED"/>
    <w:rsid w:val="00B309ED"/>
    <w:rsid w:val="00B33273"/>
    <w:rsid w:val="00B6504B"/>
    <w:rsid w:val="00B9367E"/>
    <w:rsid w:val="00BA249D"/>
    <w:rsid w:val="00BB4793"/>
    <w:rsid w:val="00BD427A"/>
    <w:rsid w:val="00BF6763"/>
    <w:rsid w:val="00C474A9"/>
    <w:rsid w:val="00C54CF3"/>
    <w:rsid w:val="00C57670"/>
    <w:rsid w:val="00C96508"/>
    <w:rsid w:val="00C975C7"/>
    <w:rsid w:val="00CF3F8F"/>
    <w:rsid w:val="00D219EC"/>
    <w:rsid w:val="00D421F8"/>
    <w:rsid w:val="00DB285C"/>
    <w:rsid w:val="00DB37AA"/>
    <w:rsid w:val="00DF4049"/>
    <w:rsid w:val="00E37618"/>
    <w:rsid w:val="00EC2755"/>
    <w:rsid w:val="00EE0896"/>
    <w:rsid w:val="00EF7EAE"/>
    <w:rsid w:val="00F5521A"/>
    <w:rsid w:val="00F752DB"/>
    <w:rsid w:val="00F81DE9"/>
    <w:rsid w:val="00F905BC"/>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DF4049"/>
    <w:pPr>
      <w:keepNext/>
      <w:keepLines/>
      <w:spacing w:before="360" w:after="120" w:line="240" w:lineRule="auto"/>
      <w:outlineLvl w:val="0"/>
    </w:pPr>
    <w:rPr>
      <w:rFonts w:eastAsiaTheme="majorEastAsia" w:cstheme="majorBidi"/>
      <w:b/>
      <w:color w:val="B21936"/>
      <w:sz w:val="32"/>
      <w:szCs w:val="32"/>
    </w:rPr>
  </w:style>
  <w:style w:type="paragraph" w:styleId="Heading2">
    <w:name w:val="heading 2"/>
    <w:basedOn w:val="Normal"/>
    <w:next w:val="Normal"/>
    <w:link w:val="Heading2Char"/>
    <w:uiPriority w:val="9"/>
    <w:unhideWhenUsed/>
    <w:qFormat/>
    <w:rsid w:val="0066276F"/>
    <w:pPr>
      <w:keepNext/>
      <w:keepLines/>
      <w:spacing w:before="120" w:after="120" w:line="240" w:lineRule="auto"/>
      <w:outlineLvl w:val="1"/>
    </w:pPr>
    <w:rPr>
      <w:rFonts w:eastAsiaTheme="majorEastAsia" w:cstheme="majorBidi"/>
      <w:color w:val="595959" w:themeColor="text1" w:themeTint="A6"/>
      <w:sz w:val="28"/>
      <w:szCs w:val="26"/>
    </w:rPr>
  </w:style>
  <w:style w:type="paragraph" w:styleId="Heading3">
    <w:name w:val="heading 3"/>
    <w:basedOn w:val="Normal"/>
    <w:next w:val="Normal"/>
    <w:link w:val="Heading3Char"/>
    <w:uiPriority w:val="9"/>
    <w:unhideWhenUsed/>
    <w:qFormat/>
    <w:rsid w:val="0066276F"/>
    <w:pPr>
      <w:keepNext/>
      <w:keepLines/>
      <w:spacing w:before="120" w:after="120" w:line="240" w:lineRule="auto"/>
      <w:outlineLvl w:val="2"/>
    </w:pPr>
    <w:rPr>
      <w:rFonts w:eastAsiaTheme="majorEastAsia" w:cstheme="majorBidi"/>
      <w:b/>
      <w:color w:val="595959" w:themeColor="text1" w:themeTint="A6"/>
      <w:sz w:val="26"/>
      <w:szCs w:val="24"/>
    </w:rPr>
  </w:style>
  <w:style w:type="paragraph" w:styleId="Heading4">
    <w:name w:val="heading 4"/>
    <w:basedOn w:val="Normal"/>
    <w:next w:val="Normal"/>
    <w:link w:val="Heading4Char"/>
    <w:uiPriority w:val="9"/>
    <w:unhideWhenUsed/>
    <w:qFormat/>
    <w:rsid w:val="00374805"/>
    <w:pPr>
      <w:keepNext/>
      <w:keepLines/>
      <w:spacing w:before="120" w:after="120" w:line="240" w:lineRule="auto"/>
      <w:outlineLvl w:val="3"/>
    </w:pPr>
    <w:rPr>
      <w:rFonts w:eastAsiaTheme="majorEastAsia" w:cstheme="majorBidi"/>
      <w:iCs/>
      <w:color w:val="595959" w:themeColor="text1" w:themeTint="A6"/>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DF4049"/>
    <w:rPr>
      <w:rFonts w:ascii="Arial" w:eastAsiaTheme="majorEastAsia" w:hAnsi="Arial" w:cstheme="majorBidi"/>
      <w:b/>
      <w:color w:val="B21936"/>
      <w:sz w:val="32"/>
      <w:szCs w:val="32"/>
    </w:rPr>
  </w:style>
  <w:style w:type="character" w:customStyle="1" w:styleId="Heading2Char">
    <w:name w:val="Heading 2 Char"/>
    <w:basedOn w:val="DefaultParagraphFont"/>
    <w:link w:val="Heading2"/>
    <w:uiPriority w:val="9"/>
    <w:rsid w:val="0066276F"/>
    <w:rPr>
      <w:rFonts w:ascii="Arial" w:eastAsiaTheme="majorEastAsia" w:hAnsi="Arial" w:cstheme="majorBidi"/>
      <w:color w:val="595959" w:themeColor="text1" w:themeTint="A6"/>
      <w:sz w:val="28"/>
      <w:szCs w:val="26"/>
    </w:rPr>
  </w:style>
  <w:style w:type="character" w:customStyle="1" w:styleId="Heading3Char">
    <w:name w:val="Heading 3 Char"/>
    <w:basedOn w:val="DefaultParagraphFont"/>
    <w:link w:val="Heading3"/>
    <w:uiPriority w:val="9"/>
    <w:rsid w:val="0066276F"/>
    <w:rPr>
      <w:rFonts w:ascii="Arial" w:eastAsiaTheme="majorEastAsia" w:hAnsi="Arial" w:cstheme="majorBidi"/>
      <w:b/>
      <w:color w:val="595959" w:themeColor="text1" w:themeTint="A6"/>
      <w:sz w:val="26"/>
      <w:szCs w:val="24"/>
    </w:rPr>
  </w:style>
  <w:style w:type="character" w:customStyle="1" w:styleId="Heading4Char">
    <w:name w:val="Heading 4 Char"/>
    <w:basedOn w:val="DefaultParagraphFont"/>
    <w:link w:val="Heading4"/>
    <w:uiPriority w:val="9"/>
    <w:rsid w:val="00374805"/>
    <w:rPr>
      <w:rFonts w:ascii="Arial" w:eastAsiaTheme="majorEastAsia" w:hAnsi="Arial" w:cstheme="majorBidi"/>
      <w:iCs/>
      <w:color w:val="595959" w:themeColor="text1" w:themeTint="A6"/>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374805"/>
    <w:pPr>
      <w:spacing w:before="24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7480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6E6E6E"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DDDDDD"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374805"/>
    <w:pPr>
      <w:pBdr>
        <w:top w:val="single" w:sz="4" w:space="10" w:color="808080" w:themeColor="background1" w:themeShade="80"/>
        <w:bottom w:val="single" w:sz="4" w:space="10" w:color="808080" w:themeColor="background1" w:themeShade="80"/>
      </w:pBdr>
      <w:spacing w:before="120" w:after="120"/>
      <w:ind w:left="862" w:right="862"/>
      <w:jc w:val="center"/>
    </w:pPr>
    <w:rPr>
      <w:iCs/>
      <w:color w:val="595959" w:themeColor="text1" w:themeTint="A6"/>
    </w:rPr>
  </w:style>
  <w:style w:type="character" w:customStyle="1" w:styleId="IntenseQuoteChar">
    <w:name w:val="Intense Quote Char"/>
    <w:basedOn w:val="DefaultParagraphFont"/>
    <w:link w:val="IntenseQuote"/>
    <w:uiPriority w:val="30"/>
    <w:rsid w:val="00374805"/>
    <w:rPr>
      <w:rFonts w:ascii="Arial" w:hAnsi="Arial"/>
      <w:iCs/>
      <w:color w:val="595959" w:themeColor="text1" w:themeTint="A6"/>
      <w:sz w:val="20"/>
    </w:rPr>
  </w:style>
  <w:style w:type="character" w:styleId="Hyperlink">
    <w:name w:val="Hyperlink"/>
    <w:basedOn w:val="DefaultParagraphFont"/>
    <w:uiPriority w:val="99"/>
    <w:unhideWhenUsed/>
    <w:rsid w:val="00D219EC"/>
    <w:rPr>
      <w:color w:val="5F5F5F"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374805"/>
    <w:rPr>
      <w:i/>
      <w:iCs/>
      <w:color w:val="808080" w:themeColor="background1" w:themeShade="80"/>
    </w:rPr>
  </w:style>
  <w:style w:type="character" w:styleId="FollowedHyperlink">
    <w:name w:val="FollowedHyperlink"/>
    <w:basedOn w:val="DefaultParagraphFont"/>
    <w:uiPriority w:val="99"/>
    <w:semiHidden/>
    <w:unhideWhenUsed/>
    <w:rsid w:val="00C975C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434A07"/>
    <w:rsid w:val="0055134C"/>
    <w:rsid w:val="008B6460"/>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7C5DBD0C303044BE81A728B4BDC32F" ma:contentTypeVersion="11" ma:contentTypeDescription="Create a new document." ma:contentTypeScope="" ma:versionID="e60f1ee7521a88446c7df044ae5614c7">
  <xsd:schema xmlns:xsd="http://www.w3.org/2001/XMLSchema" xmlns:xs="http://www.w3.org/2001/XMLSchema" xmlns:p="http://schemas.microsoft.com/office/2006/metadata/properties" xmlns:ns2="4789e018-8bd7-4de6-bcbe-3f0737e6d188" xmlns:ns3="7e3aca9d-d4eb-4254-a437-6bb7f1b28d83" targetNamespace="http://schemas.microsoft.com/office/2006/metadata/properties" ma:root="true" ma:fieldsID="967575fc8f94330d1fa921bee67e0af9" ns2:_="" ns3:_="">
    <xsd:import namespace="4789e018-8bd7-4de6-bcbe-3f0737e6d188"/>
    <xsd:import namespace="7e3aca9d-d4eb-4254-a437-6bb7f1b28d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9e018-8bd7-4de6-bcbe-3f0737e6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1EFA9-B4AB-4A9C-88BC-BA077CF8AEBC}">
  <ds:schemaRefs>
    <ds:schemaRef ds:uri="http://schemas.microsoft.com/sharepoint/v3/contenttype/forms"/>
  </ds:schemaRefs>
</ds:datastoreItem>
</file>

<file path=customXml/itemProps2.xml><?xml version="1.0" encoding="utf-8"?>
<ds:datastoreItem xmlns:ds="http://schemas.openxmlformats.org/officeDocument/2006/customXml" ds:itemID="{6C68F36B-62FC-4EB1-AEF4-FC09190A9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9e018-8bd7-4de6-bcbe-3f0737e6d188"/>
    <ds:schemaRef ds:uri="7e3aca9d-d4eb-4254-a437-6bb7f1b28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611EB-5F77-47C8-90A6-B49D108764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2237</Characters>
  <Application>Microsoft Office Word</Application>
  <DocSecurity>0</DocSecurity>
  <Lines>57</Lines>
  <Paragraphs>27</Paragraphs>
  <ScaleCrop>false</ScaleCrop>
  <HeadingPairs>
    <vt:vector size="2" baseType="variant">
      <vt:variant>
        <vt:lpstr>Title</vt:lpstr>
      </vt:variant>
      <vt:variant>
        <vt:i4>1</vt:i4>
      </vt:variant>
    </vt:vector>
  </HeadingPairs>
  <TitlesOfParts>
    <vt:vector size="1" baseType="lpstr">
      <vt:lpstr>Document template—A4 Portrait—no cover—colour</vt:lpstr>
    </vt:vector>
  </TitlesOfParts>
  <Manager/>
  <Company/>
  <LinksUpToDate>false</LinksUpToDate>
  <CharactersWithSpaces>2670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Supplier Threshold – example declaration</dc:title>
  <dc:subject/>
  <dc:creator>Department of Energy and Public Works</dc:creator>
  <cp:keywords/>
  <dc:description/>
  <cp:lastModifiedBy>Joshua Carson</cp:lastModifiedBy>
  <cp:revision>3</cp:revision>
  <cp:lastPrinted>2019-01-24T00:45:00Z</cp:lastPrinted>
  <dcterms:created xsi:type="dcterms:W3CDTF">2021-10-01T02:58:00Z</dcterms:created>
  <dcterms:modified xsi:type="dcterms:W3CDTF">2021-11-02T01:49:00Z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0x010100667C5DBD0C303044BE81A728B4BDC32F</vt:lpwstr>
  </property>
  <property fmtid="{D5CDD505-2E9C-101B-9397-08002B2CF9AE}" pid="3" name="TaxKeyword">
    <vt:lpwstr>116;#a4|28079928-679d-48a2-8883-835d1d514c3f;#25;#factsheet|f5360485-fc5d-4a57-9517-7e19365afe1f;#106;#portrait|c1018efc-2dc6-4702-9358-55e88104df21</vt:lpwstr>
  </property>
  <property fmtid="{D5CDD505-2E9C-101B-9397-08002B2CF9AE}" pid="4" name="Order">
    <vt:i4>542400</vt:i4>
  </property>
  <property fmtid="{D5CDD505-2E9C-101B-9397-08002B2CF9AE}" pid="5" name="Number">
    <vt:lpwstr/>
  </property>
  <property fmtid="{D5CDD505-2E9C-101B-9397-08002B2CF9AE}" pid="6" name="Status">
    <vt:lpwstr/>
  </property>
</Properties>
</file>