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1284" w14:textId="7D366BA7" w:rsidR="00F752DB" w:rsidRDefault="00F752DB"/>
    <w:p w14:paraId="54156FB6" w14:textId="77777777" w:rsidR="00701011" w:rsidRDefault="00701011" w:rsidP="000140F8">
      <w:pPr>
        <w:pStyle w:val="Title"/>
      </w:pPr>
    </w:p>
    <w:p w14:paraId="19E8F2D1" w14:textId="77777777" w:rsidR="00701011" w:rsidRDefault="00701011" w:rsidP="000140F8">
      <w:pPr>
        <w:pStyle w:val="Title"/>
      </w:pPr>
    </w:p>
    <w:p w14:paraId="67F71F95" w14:textId="77777777" w:rsidR="00701011" w:rsidRDefault="00701011" w:rsidP="000140F8">
      <w:pPr>
        <w:pStyle w:val="Title"/>
      </w:pPr>
    </w:p>
    <w:p w14:paraId="65B992EF" w14:textId="77777777" w:rsidR="00701011" w:rsidRDefault="00701011" w:rsidP="000140F8">
      <w:pPr>
        <w:pStyle w:val="Title"/>
      </w:pPr>
    </w:p>
    <w:p w14:paraId="130E85FF" w14:textId="729B8148" w:rsidR="00701011" w:rsidRPr="0054582F" w:rsidRDefault="00C12DAD" w:rsidP="00F905BC">
      <w:pPr>
        <w:pStyle w:val="Title"/>
        <w:ind w:left="851"/>
        <w:rPr>
          <w:color w:val="B21936"/>
          <w:sz w:val="64"/>
          <w:szCs w:val="64"/>
        </w:rPr>
      </w:pPr>
      <w:r>
        <w:rPr>
          <w:i/>
          <w:iCs/>
          <w:color w:val="B21936"/>
          <w:sz w:val="64"/>
          <w:szCs w:val="64"/>
        </w:rPr>
        <w:t xml:space="preserve">Extenuating Circumstances </w:t>
      </w:r>
      <w:r w:rsidR="0071471A" w:rsidRPr="0071471A">
        <w:rPr>
          <w:i/>
          <w:iCs/>
          <w:color w:val="B21936"/>
          <w:sz w:val="64"/>
          <w:szCs w:val="64"/>
        </w:rPr>
        <w:t>Notice</w:t>
      </w:r>
      <w:r w:rsidR="0071471A">
        <w:rPr>
          <w:color w:val="B21936"/>
          <w:sz w:val="64"/>
          <w:szCs w:val="64"/>
        </w:rPr>
        <w:t xml:space="preserve"> template</w:t>
      </w:r>
      <w:r w:rsidR="00701011" w:rsidRPr="0054582F">
        <w:rPr>
          <w:color w:val="B21936"/>
          <w:sz w:val="64"/>
          <w:szCs w:val="64"/>
        </w:rPr>
        <w:t xml:space="preserve"> </w:t>
      </w:r>
    </w:p>
    <w:p w14:paraId="7E9D4C1D" w14:textId="34BA2104" w:rsidR="0020190D" w:rsidRDefault="00A83AC0" w:rsidP="001E7E00">
      <w:pPr>
        <w:pStyle w:val="Subtitle"/>
        <w:ind w:left="851"/>
        <w:rPr>
          <w:color w:val="373636"/>
        </w:rPr>
      </w:pPr>
      <w:r>
        <w:rPr>
          <w:color w:val="373636"/>
        </w:rPr>
        <w:t>Ethical Supplier Mandate and Ethical Supplier Threshold</w:t>
      </w:r>
    </w:p>
    <w:p w14:paraId="62B1A47A" w14:textId="1943194E" w:rsidR="00F752DB" w:rsidRPr="0037294E" w:rsidRDefault="0020190D" w:rsidP="001E7E00">
      <w:pPr>
        <w:pStyle w:val="Subtitle"/>
        <w:ind w:left="851"/>
        <w:rPr>
          <w:color w:val="B21936"/>
        </w:rPr>
      </w:pPr>
      <w:r w:rsidRPr="0037294E">
        <w:rPr>
          <w:rStyle w:val="SubtleEmphasis"/>
          <w:color w:val="B21936"/>
        </w:rPr>
        <w:t xml:space="preserve"> </w:t>
      </w:r>
      <w:r w:rsidR="00F752DB" w:rsidRPr="0037294E">
        <w:rPr>
          <w:rStyle w:val="SubtleEmphasis"/>
          <w:color w:val="B21936"/>
        </w:rPr>
        <w:br w:type="page"/>
      </w:r>
    </w:p>
    <w:p w14:paraId="23BB2753" w14:textId="6879A1BE" w:rsidR="00570582" w:rsidRPr="00EB67FD" w:rsidRDefault="00F039E9" w:rsidP="00570582">
      <w:pPr>
        <w:pStyle w:val="Heading1"/>
        <w:spacing w:before="0"/>
        <w:rPr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>Extenuating Circumstances</w:t>
      </w:r>
      <w:r w:rsidR="00570582" w:rsidRPr="00FA3955">
        <w:rPr>
          <w:i/>
          <w:iCs/>
          <w:sz w:val="36"/>
          <w:szCs w:val="36"/>
        </w:rPr>
        <w:t xml:space="preserve"> Notice</w:t>
      </w:r>
    </w:p>
    <w:p w14:paraId="047CA267" w14:textId="3073E5E4" w:rsidR="00570582" w:rsidRDefault="00570582" w:rsidP="00F037B2">
      <w:pPr>
        <w:pStyle w:val="BDOBodytext"/>
        <w:spacing w:after="0"/>
        <w:ind w:right="-45"/>
        <w:rPr>
          <w:rFonts w:ascii="Arial" w:hAnsi="Arial"/>
          <w:color w:val="414042"/>
        </w:rPr>
      </w:pPr>
      <w:r>
        <w:rPr>
          <w:rFonts w:ascii="Arial" w:hAnsi="Arial"/>
          <w:color w:val="414042"/>
        </w:rPr>
        <w:t xml:space="preserve">This </w:t>
      </w:r>
      <w:r w:rsidR="00036636">
        <w:rPr>
          <w:rFonts w:ascii="Arial" w:hAnsi="Arial"/>
          <w:i/>
          <w:iCs/>
          <w:color w:val="414042"/>
        </w:rPr>
        <w:t>Extenuating Circumstances</w:t>
      </w:r>
      <w:r w:rsidRPr="00F27F52">
        <w:rPr>
          <w:rFonts w:ascii="Arial" w:hAnsi="Arial"/>
          <w:i/>
          <w:iCs/>
          <w:color w:val="414042"/>
        </w:rPr>
        <w:t xml:space="preserve"> Notice</w:t>
      </w:r>
      <w:r>
        <w:rPr>
          <w:rFonts w:ascii="Arial" w:hAnsi="Arial"/>
          <w:color w:val="414042"/>
        </w:rPr>
        <w:t xml:space="preserve"> </w:t>
      </w:r>
      <w:r w:rsidR="00FD0026">
        <w:rPr>
          <w:rFonts w:ascii="Arial" w:hAnsi="Arial"/>
          <w:color w:val="414042"/>
        </w:rPr>
        <w:t>is</w:t>
      </w:r>
      <w:r>
        <w:rPr>
          <w:rFonts w:ascii="Arial" w:hAnsi="Arial"/>
          <w:color w:val="414042"/>
        </w:rPr>
        <w:t xml:space="preserve"> issued </w:t>
      </w:r>
      <w:r w:rsidR="007D210A">
        <w:rPr>
          <w:rFonts w:ascii="Arial" w:hAnsi="Arial"/>
          <w:color w:val="414042"/>
        </w:rPr>
        <w:t xml:space="preserve">by the </w:t>
      </w:r>
      <w:r w:rsidR="00FD0026">
        <w:rPr>
          <w:rFonts w:ascii="Arial" w:hAnsi="Arial"/>
          <w:color w:val="414042"/>
        </w:rPr>
        <w:t>Department of Energy and Public Works</w:t>
      </w:r>
      <w:r w:rsidR="007D210A">
        <w:rPr>
          <w:rFonts w:ascii="Arial" w:hAnsi="Arial"/>
          <w:color w:val="414042"/>
        </w:rPr>
        <w:t xml:space="preserve"> </w:t>
      </w:r>
      <w:r>
        <w:rPr>
          <w:rFonts w:ascii="Arial" w:hAnsi="Arial"/>
          <w:color w:val="414042"/>
        </w:rPr>
        <w:t>to suppliers where a</w:t>
      </w:r>
      <w:r w:rsidR="009A058B">
        <w:rPr>
          <w:rFonts w:ascii="Arial" w:hAnsi="Arial"/>
          <w:color w:val="414042"/>
        </w:rPr>
        <w:t xml:space="preserve"> breach of the </w:t>
      </w:r>
      <w:r w:rsidR="00100AF4">
        <w:rPr>
          <w:rFonts w:ascii="Arial" w:hAnsi="Arial"/>
          <w:color w:val="414042"/>
        </w:rPr>
        <w:t xml:space="preserve">Ethical Supplier </w:t>
      </w:r>
      <w:r w:rsidR="009A058B">
        <w:rPr>
          <w:rFonts w:ascii="Arial" w:hAnsi="Arial"/>
          <w:color w:val="414042"/>
        </w:rPr>
        <w:t xml:space="preserve">Mandate </w:t>
      </w:r>
      <w:r w:rsidR="007F329A">
        <w:rPr>
          <w:rFonts w:ascii="Arial" w:hAnsi="Arial"/>
          <w:color w:val="414042"/>
        </w:rPr>
        <w:t xml:space="preserve">(the Mandate) </w:t>
      </w:r>
      <w:r w:rsidR="009A058B">
        <w:rPr>
          <w:rFonts w:ascii="Arial" w:hAnsi="Arial"/>
          <w:color w:val="414042"/>
        </w:rPr>
        <w:t xml:space="preserve">or </w:t>
      </w:r>
      <w:r w:rsidR="007F329A">
        <w:rPr>
          <w:rFonts w:ascii="Arial" w:hAnsi="Arial"/>
          <w:color w:val="414042"/>
        </w:rPr>
        <w:t xml:space="preserve">Ethical Supplier </w:t>
      </w:r>
      <w:r w:rsidR="009A058B">
        <w:rPr>
          <w:rFonts w:ascii="Arial" w:hAnsi="Arial"/>
          <w:color w:val="414042"/>
        </w:rPr>
        <w:t>Th</w:t>
      </w:r>
      <w:r w:rsidR="00185C3E">
        <w:rPr>
          <w:rFonts w:ascii="Arial" w:hAnsi="Arial"/>
          <w:color w:val="414042"/>
        </w:rPr>
        <w:t>reshold</w:t>
      </w:r>
      <w:r w:rsidR="00564699">
        <w:rPr>
          <w:rFonts w:ascii="Arial" w:hAnsi="Arial"/>
          <w:color w:val="414042"/>
        </w:rPr>
        <w:t xml:space="preserve"> </w:t>
      </w:r>
      <w:r w:rsidR="007F329A">
        <w:rPr>
          <w:rFonts w:ascii="Arial" w:hAnsi="Arial"/>
          <w:color w:val="414042"/>
        </w:rPr>
        <w:t xml:space="preserve">(the Threshold) </w:t>
      </w:r>
      <w:r w:rsidR="00564699">
        <w:rPr>
          <w:rFonts w:ascii="Arial" w:hAnsi="Arial"/>
          <w:color w:val="414042"/>
        </w:rPr>
        <w:t>has been submitted by a procuring agency</w:t>
      </w:r>
      <w:r>
        <w:rPr>
          <w:rFonts w:ascii="Arial" w:hAnsi="Arial"/>
          <w:color w:val="414042"/>
        </w:rPr>
        <w:t>.</w:t>
      </w:r>
    </w:p>
    <w:p w14:paraId="3C6EEE5C" w14:textId="77777777" w:rsidR="00570582" w:rsidRDefault="00570582" w:rsidP="00570582">
      <w:pPr>
        <w:pStyle w:val="BDOBodytext"/>
        <w:ind w:right="-46"/>
        <w:jc w:val="both"/>
        <w:rPr>
          <w:rFonts w:ascii="Arial" w:hAnsi="Arial"/>
          <w:color w:val="414042"/>
        </w:rPr>
      </w:pPr>
      <w:r>
        <w:rPr>
          <w:rFonts w:ascii="Arial" w:hAnsi="Arial"/>
          <w:noProof/>
          <w:color w:val="4140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9C10D" wp14:editId="52E0086E">
                <wp:simplePos x="0" y="0"/>
                <wp:positionH relativeFrom="column">
                  <wp:posOffset>-1270</wp:posOffset>
                </wp:positionH>
                <wp:positionV relativeFrom="paragraph">
                  <wp:posOffset>158527</wp:posOffset>
                </wp:positionV>
                <wp:extent cx="6502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8B4A7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2.5pt" to="511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OltgEAAMMDAAAOAAAAZHJzL2Uyb0RvYy54bWysU8GOEzEMvSPxD1HudKYVr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" strokecolor="#a70240 [3204]" strokeweight=".5pt">
                <v:stroke joinstyle="miter"/>
              </v:line>
            </w:pict>
          </mc:Fallback>
        </mc:AlternateContent>
      </w:r>
    </w:p>
    <w:p w14:paraId="06BB07F5" w14:textId="77777777" w:rsidR="00570582" w:rsidRPr="00625D35" w:rsidRDefault="00570582" w:rsidP="00625D35">
      <w:pPr>
        <w:pStyle w:val="BDOBodytext"/>
        <w:spacing w:after="0"/>
        <w:ind w:right="-45"/>
        <w:jc w:val="both"/>
        <w:rPr>
          <w:rFonts w:ascii="Arial" w:hAnsi="Arial"/>
          <w:color w:val="414042"/>
          <w:sz w:val="12"/>
          <w:szCs w:val="12"/>
        </w:rPr>
      </w:pPr>
    </w:p>
    <w:p w14:paraId="502CEEE3" w14:textId="77777777" w:rsidR="00570582" w:rsidRPr="006B70A8" w:rsidRDefault="00570582" w:rsidP="00570582">
      <w:pPr>
        <w:spacing w:after="360" w:line="240" w:lineRule="auto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>&lt;Day Month Year&gt;</w:t>
      </w:r>
    </w:p>
    <w:p w14:paraId="66D54CBC" w14:textId="77777777" w:rsidR="00570582" w:rsidRPr="006B70A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>&lt;Supplier Name&gt;</w:t>
      </w:r>
    </w:p>
    <w:p w14:paraId="1FEDB312" w14:textId="77777777" w:rsidR="00570582" w:rsidRPr="006B70A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>&lt;Supplier Contact&gt;</w:t>
      </w:r>
    </w:p>
    <w:p w14:paraId="7CFB8D28" w14:textId="77777777" w:rsidR="00570582" w:rsidRPr="006B70A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 xml:space="preserve">&lt;Contact Position&gt; </w:t>
      </w:r>
    </w:p>
    <w:p w14:paraId="59632CA5" w14:textId="77777777" w:rsidR="00570582" w:rsidRPr="006B70A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>&lt;Street Address or GPO/PO Box&gt;</w:t>
      </w:r>
    </w:p>
    <w:p w14:paraId="4CB48C2F" w14:textId="77777777" w:rsidR="00570582" w:rsidRPr="006B70A8" w:rsidRDefault="00570582" w:rsidP="00570582">
      <w:pPr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>&lt;Suburb, State, Postcode&gt;</w:t>
      </w:r>
    </w:p>
    <w:p w14:paraId="4572C389" w14:textId="77777777" w:rsidR="00570582" w:rsidRPr="00B65C5A" w:rsidRDefault="00570582" w:rsidP="00570582">
      <w:pPr>
        <w:rPr>
          <w:rFonts w:cs="Arial"/>
        </w:rPr>
      </w:pPr>
    </w:p>
    <w:p w14:paraId="5EC43E27" w14:textId="5AC7BD15" w:rsidR="00570582" w:rsidRPr="005D7A0C" w:rsidRDefault="00B04F54" w:rsidP="00B04F54">
      <w:pPr>
        <w:spacing w:after="360" w:line="280" w:lineRule="atLeast"/>
        <w:rPr>
          <w:rFonts w:eastAsiaTheme="majorEastAsia" w:cstheme="majorBidi"/>
          <w:bCs/>
          <w:color w:val="B21936"/>
          <w:sz w:val="28"/>
          <w:szCs w:val="28"/>
        </w:rPr>
      </w:pPr>
      <w:r>
        <w:rPr>
          <w:rFonts w:eastAsiaTheme="majorEastAsia" w:cstheme="majorBidi"/>
          <w:bCs/>
          <w:color w:val="B21936"/>
          <w:sz w:val="28"/>
          <w:szCs w:val="28"/>
        </w:rPr>
        <w:t xml:space="preserve">REF#&lt;insert&gt;: </w:t>
      </w:r>
      <w:r w:rsidR="00570582" w:rsidRPr="00D81965">
        <w:rPr>
          <w:rFonts w:eastAsiaTheme="majorEastAsia" w:cstheme="majorBidi"/>
          <w:bCs/>
          <w:color w:val="B21936"/>
          <w:sz w:val="28"/>
          <w:szCs w:val="28"/>
        </w:rPr>
        <w:t xml:space="preserve">Ethical Supplier &lt;Mandate or Threshold&gt; </w:t>
      </w:r>
      <w:r w:rsidR="00C43D86">
        <w:rPr>
          <w:rFonts w:eastAsiaTheme="majorEastAsia" w:cstheme="majorBidi"/>
          <w:bCs/>
          <w:color w:val="B21936"/>
          <w:sz w:val="28"/>
          <w:szCs w:val="28"/>
        </w:rPr>
        <w:t>Extenuating Circumstances</w:t>
      </w:r>
      <w:r w:rsidR="00570582" w:rsidRPr="00D81965">
        <w:rPr>
          <w:rFonts w:eastAsiaTheme="majorEastAsia" w:cstheme="majorBidi"/>
          <w:bCs/>
          <w:color w:val="B21936"/>
          <w:sz w:val="28"/>
          <w:szCs w:val="28"/>
        </w:rPr>
        <w:t xml:space="preserve"> Notice</w:t>
      </w:r>
    </w:p>
    <w:p w14:paraId="299140C6" w14:textId="573AF5EF" w:rsidR="00570582" w:rsidRPr="006B70A8" w:rsidRDefault="00570582" w:rsidP="00F037B2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 xml:space="preserve">Dear </w:t>
      </w:r>
      <w:r w:rsidR="00B4125C">
        <w:rPr>
          <w:rFonts w:eastAsia="Times New Roman" w:cs="Arial"/>
          <w:color w:val="414042"/>
          <w:szCs w:val="20"/>
          <w:lang w:eastAsia="en-AU"/>
        </w:rPr>
        <w:t>&lt;salutation&gt;</w:t>
      </w:r>
      <w:r w:rsidRPr="006B70A8">
        <w:rPr>
          <w:rFonts w:eastAsia="Times New Roman" w:cs="Arial"/>
          <w:color w:val="414042"/>
          <w:szCs w:val="20"/>
          <w:lang w:eastAsia="en-AU"/>
        </w:rPr>
        <w:t xml:space="preserve"> &lt;insert surname&gt;,</w:t>
      </w:r>
    </w:p>
    <w:p w14:paraId="446EC744" w14:textId="660C307D" w:rsidR="00570582" w:rsidRPr="00A742B8" w:rsidRDefault="00570582" w:rsidP="00F037B2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A742B8">
        <w:rPr>
          <w:rFonts w:eastAsia="Times New Roman" w:cs="Arial"/>
          <w:color w:val="414042"/>
          <w:szCs w:val="20"/>
          <w:lang w:eastAsia="en-AU"/>
        </w:rPr>
        <w:t xml:space="preserve">On </w:t>
      </w:r>
      <w:r>
        <w:rPr>
          <w:rFonts w:eastAsia="Times New Roman" w:cs="Arial"/>
          <w:color w:val="414042"/>
          <w:szCs w:val="20"/>
          <w:lang w:eastAsia="en-AU"/>
        </w:rPr>
        <w:t>&lt;</w:t>
      </w:r>
      <w:r w:rsidRPr="00A742B8">
        <w:rPr>
          <w:rFonts w:eastAsia="Times New Roman" w:cs="Arial"/>
          <w:color w:val="414042"/>
          <w:szCs w:val="20"/>
          <w:lang w:eastAsia="en-AU"/>
        </w:rPr>
        <w:t>insert date</w:t>
      </w:r>
      <w:r>
        <w:rPr>
          <w:rFonts w:eastAsia="Times New Roman" w:cs="Arial"/>
          <w:color w:val="414042"/>
          <w:szCs w:val="20"/>
          <w:lang w:eastAsia="en-AU"/>
        </w:rPr>
        <w:t>&gt;</w:t>
      </w:r>
      <w:r w:rsidRPr="00A742B8">
        <w:rPr>
          <w:rFonts w:eastAsia="Times New Roman" w:cs="Arial"/>
          <w:color w:val="414042"/>
          <w:szCs w:val="20"/>
          <w:lang w:eastAsia="en-AU"/>
        </w:rPr>
        <w:t xml:space="preserve"> the </w:t>
      </w:r>
      <w:r w:rsidR="00556811">
        <w:rPr>
          <w:rFonts w:eastAsia="Times New Roman" w:cs="Arial"/>
          <w:color w:val="414042"/>
          <w:szCs w:val="20"/>
          <w:lang w:eastAsia="en-AU"/>
        </w:rPr>
        <w:t>&lt;insert procuring agenc</w:t>
      </w:r>
      <w:r w:rsidR="00BF67D8">
        <w:rPr>
          <w:rFonts w:eastAsia="Times New Roman" w:cs="Arial"/>
          <w:color w:val="414042"/>
          <w:szCs w:val="20"/>
          <w:lang w:eastAsia="en-AU"/>
        </w:rPr>
        <w:t>y&gt;</w:t>
      </w:r>
      <w:r w:rsidR="00B00072">
        <w:rPr>
          <w:rFonts w:eastAsia="Times New Roman" w:cs="Arial"/>
          <w:color w:val="414042"/>
          <w:szCs w:val="20"/>
          <w:lang w:eastAsia="en-AU"/>
        </w:rPr>
        <w:t xml:space="preserve"> submitted a suspected breach of the </w:t>
      </w:r>
      <w:r w:rsidR="00A61084" w:rsidRPr="00A742B8">
        <w:rPr>
          <w:rFonts w:eastAsia="Times New Roman" w:cs="Arial"/>
          <w:color w:val="414042"/>
          <w:szCs w:val="20"/>
          <w:lang w:eastAsia="en-AU"/>
        </w:rPr>
        <w:t xml:space="preserve">Ethical Supplier </w:t>
      </w:r>
      <w:r w:rsidR="00A61084">
        <w:rPr>
          <w:rFonts w:eastAsia="Times New Roman" w:cs="Arial"/>
          <w:color w:val="414042"/>
          <w:szCs w:val="20"/>
          <w:lang w:eastAsia="en-AU"/>
        </w:rPr>
        <w:t>&lt;</w:t>
      </w:r>
      <w:r w:rsidR="00A61084" w:rsidRPr="00A742B8">
        <w:rPr>
          <w:rFonts w:eastAsia="Times New Roman" w:cs="Arial"/>
          <w:color w:val="414042"/>
          <w:szCs w:val="20"/>
          <w:lang w:eastAsia="en-AU"/>
        </w:rPr>
        <w:t>Mandate or Threshold</w:t>
      </w:r>
      <w:r w:rsidR="00A61084">
        <w:rPr>
          <w:rFonts w:eastAsia="Times New Roman" w:cs="Arial"/>
          <w:color w:val="414042"/>
          <w:szCs w:val="20"/>
          <w:lang w:eastAsia="en-AU"/>
        </w:rPr>
        <w:t>&gt; (the Mandate/Threshold)</w:t>
      </w:r>
      <w:r w:rsidR="0011158D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5B02AD">
        <w:rPr>
          <w:rFonts w:eastAsia="Times New Roman" w:cs="Arial"/>
          <w:color w:val="414042"/>
          <w:szCs w:val="20"/>
          <w:lang w:eastAsia="en-AU"/>
        </w:rPr>
        <w:t xml:space="preserve">by &lt;insert supplier name&gt; </w:t>
      </w:r>
      <w:r w:rsidR="0011158D">
        <w:rPr>
          <w:rFonts w:eastAsia="Times New Roman" w:cs="Arial"/>
          <w:color w:val="414042"/>
          <w:szCs w:val="20"/>
          <w:lang w:eastAsia="en-AU"/>
        </w:rPr>
        <w:t xml:space="preserve">to </w:t>
      </w:r>
      <w:r w:rsidR="009F7B99">
        <w:rPr>
          <w:rFonts w:eastAsia="Times New Roman" w:cs="Arial"/>
          <w:color w:val="414042"/>
          <w:szCs w:val="20"/>
          <w:lang w:eastAsia="en-AU"/>
        </w:rPr>
        <w:t>the Queensland Government Procurement (QGP) Compliance Branch</w:t>
      </w:r>
      <w:r w:rsidR="00EF674E">
        <w:rPr>
          <w:rFonts w:eastAsia="Times New Roman" w:cs="Arial"/>
          <w:color w:val="414042"/>
          <w:szCs w:val="20"/>
          <w:lang w:eastAsia="en-AU"/>
        </w:rPr>
        <w:t xml:space="preserve"> within </w:t>
      </w:r>
      <w:r w:rsidR="00B14E6D">
        <w:rPr>
          <w:rFonts w:eastAsia="Times New Roman" w:cs="Arial"/>
          <w:color w:val="414042"/>
          <w:szCs w:val="20"/>
          <w:lang w:eastAsia="en-AU"/>
        </w:rPr>
        <w:t>the Department of Energy and Public Works</w:t>
      </w:r>
      <w:r w:rsidR="00342ABB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C15D8C">
        <w:rPr>
          <w:rFonts w:eastAsia="Times New Roman" w:cs="Arial"/>
          <w:color w:val="414042"/>
          <w:szCs w:val="20"/>
          <w:lang w:eastAsia="en-AU"/>
        </w:rPr>
        <w:t>for escalation under the policy</w:t>
      </w:r>
      <w:r w:rsidRPr="00A742B8">
        <w:rPr>
          <w:rFonts w:eastAsia="Times New Roman" w:cs="Arial"/>
          <w:color w:val="414042"/>
          <w:szCs w:val="20"/>
          <w:lang w:eastAsia="en-AU"/>
        </w:rPr>
        <w:t xml:space="preserve">. </w:t>
      </w:r>
    </w:p>
    <w:p w14:paraId="69D1FDFA" w14:textId="4FC5B0C6" w:rsidR="004C0BE3" w:rsidRDefault="004C0BE3" w:rsidP="0021387B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b/>
          <w:bCs/>
          <w:color w:val="414042"/>
          <w:szCs w:val="20"/>
          <w:lang w:eastAsia="en-AU"/>
        </w:rPr>
        <w:t>A</w:t>
      </w:r>
      <w:r w:rsidR="0021387B">
        <w:rPr>
          <w:rFonts w:eastAsia="Times New Roman" w:cs="Arial"/>
          <w:b/>
          <w:bCs/>
          <w:color w:val="414042"/>
          <w:szCs w:val="20"/>
          <w:lang w:eastAsia="en-AU"/>
        </w:rPr>
        <w:t>LLEGATION</w:t>
      </w:r>
    </w:p>
    <w:p w14:paraId="68DF65A6" w14:textId="17F3271B" w:rsidR="00570582" w:rsidRPr="006B70A8" w:rsidRDefault="00936F5D" w:rsidP="00F037B2">
      <w:pPr>
        <w:spacing w:after="40"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>i</w:t>
      </w:r>
      <w:r w:rsidR="00570582">
        <w:rPr>
          <w:rFonts w:eastAsia="Times New Roman" w:cs="Arial"/>
          <w:color w:val="414042"/>
          <w:szCs w:val="20"/>
          <w:lang w:eastAsia="en-AU"/>
        </w:rPr>
        <w:t xml:space="preserve">t </w:t>
      </w:r>
      <w:r w:rsidR="00FB0176">
        <w:rPr>
          <w:rFonts w:eastAsia="Times New Roman" w:cs="Arial"/>
          <w:color w:val="414042"/>
          <w:szCs w:val="20"/>
          <w:lang w:eastAsia="en-AU"/>
        </w:rPr>
        <w:t>is</w:t>
      </w:r>
      <w:r w:rsidR="00570582">
        <w:rPr>
          <w:rFonts w:eastAsia="Times New Roman" w:cs="Arial"/>
          <w:color w:val="414042"/>
          <w:szCs w:val="20"/>
          <w:lang w:eastAsia="en-AU"/>
        </w:rPr>
        <w:t xml:space="preserve"> alleged</w:t>
      </w:r>
      <w:r w:rsidR="00FB0176">
        <w:rPr>
          <w:rFonts w:eastAsia="Times New Roman" w:cs="Arial"/>
          <w:color w:val="414042"/>
          <w:szCs w:val="20"/>
          <w:lang w:eastAsia="en-AU"/>
        </w:rPr>
        <w:t xml:space="preserve"> that</w:t>
      </w:r>
      <w:r w:rsidR="00570582">
        <w:rPr>
          <w:rFonts w:eastAsia="Times New Roman" w:cs="Arial"/>
          <w:color w:val="414042"/>
          <w:szCs w:val="20"/>
          <w:lang w:eastAsia="en-AU"/>
        </w:rPr>
        <w:t>:</w:t>
      </w:r>
    </w:p>
    <w:p w14:paraId="5D4B8B5D" w14:textId="77777777" w:rsidR="00570582" w:rsidRPr="00C74553" w:rsidRDefault="00570582" w:rsidP="00F037B2">
      <w:pPr>
        <w:spacing w:line="280" w:lineRule="atLeast"/>
        <w:rPr>
          <w:rFonts w:eastAsia="Times New Roman" w:cs="Arial"/>
          <w:i/>
          <w:iCs/>
          <w:color w:val="414042"/>
          <w:szCs w:val="20"/>
          <w:lang w:eastAsia="en-AU"/>
        </w:rPr>
      </w:pP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 xml:space="preserve">&lt;insert summary of </w:t>
      </w:r>
      <w:r>
        <w:rPr>
          <w:rFonts w:eastAsia="Times New Roman" w:cs="Arial"/>
          <w:i/>
          <w:iCs/>
          <w:color w:val="414042"/>
          <w:szCs w:val="20"/>
          <w:lang w:eastAsia="en-AU"/>
        </w:rPr>
        <w:t xml:space="preserve">the type of non-compliance and </w:t>
      </w: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>alleged conduct</w:t>
      </w:r>
      <w:r>
        <w:rPr>
          <w:rFonts w:eastAsia="Times New Roman" w:cs="Arial"/>
          <w:i/>
          <w:iCs/>
          <w:color w:val="414042"/>
          <w:szCs w:val="20"/>
          <w:lang w:eastAsia="en-AU"/>
        </w:rPr>
        <w:t>.</w:t>
      </w: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 xml:space="preserve"> </w:t>
      </w:r>
      <w:r>
        <w:rPr>
          <w:rFonts w:eastAsia="Times New Roman" w:cs="Arial"/>
          <w:i/>
          <w:iCs/>
          <w:color w:val="414042"/>
          <w:szCs w:val="20"/>
          <w:lang w:eastAsia="en-AU"/>
        </w:rPr>
        <w:t>I</w:t>
      </w: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>nclud</w:t>
      </w:r>
      <w:r>
        <w:rPr>
          <w:rFonts w:eastAsia="Times New Roman" w:cs="Arial"/>
          <w:i/>
          <w:iCs/>
          <w:color w:val="414042"/>
          <w:szCs w:val="20"/>
          <w:lang w:eastAsia="en-AU"/>
        </w:rPr>
        <w:t>e</w:t>
      </w: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 xml:space="preserve"> </w:t>
      </w:r>
      <w:r>
        <w:rPr>
          <w:rFonts w:eastAsia="Times New Roman" w:cs="Arial"/>
          <w:i/>
          <w:iCs/>
          <w:color w:val="414042"/>
          <w:szCs w:val="20"/>
          <w:lang w:eastAsia="en-AU"/>
        </w:rPr>
        <w:t xml:space="preserve">direct reference to policy requirements, </w:t>
      </w: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>a</w:t>
      </w:r>
      <w:r>
        <w:rPr>
          <w:rFonts w:eastAsia="Times New Roman" w:cs="Arial"/>
          <w:i/>
          <w:iCs/>
          <w:color w:val="414042"/>
          <w:szCs w:val="20"/>
          <w:lang w:eastAsia="en-AU"/>
        </w:rPr>
        <w:t xml:space="preserve">nd </w:t>
      </w: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>related contract</w:t>
      </w:r>
      <w:r>
        <w:rPr>
          <w:rFonts w:eastAsia="Times New Roman" w:cs="Arial"/>
          <w:i/>
          <w:iCs/>
          <w:color w:val="414042"/>
          <w:szCs w:val="20"/>
          <w:lang w:eastAsia="en-AU"/>
        </w:rPr>
        <w:t>/clauses</w:t>
      </w:r>
      <w:r w:rsidRPr="00C74553">
        <w:rPr>
          <w:rFonts w:eastAsia="Times New Roman" w:cs="Arial"/>
          <w:i/>
          <w:iCs/>
          <w:color w:val="414042"/>
          <w:szCs w:val="20"/>
          <w:lang w:eastAsia="en-AU"/>
        </w:rPr>
        <w:t xml:space="preserve"> (if applicable)&gt;</w:t>
      </w:r>
    </w:p>
    <w:p w14:paraId="5CAA2006" w14:textId="059B62CC" w:rsidR="008F7962" w:rsidRDefault="008F7962" w:rsidP="008F7962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b/>
          <w:bCs/>
          <w:color w:val="414042"/>
          <w:szCs w:val="20"/>
          <w:lang w:eastAsia="en-AU"/>
        </w:rPr>
        <w:t>SHOW CAUSE PROCESS</w:t>
      </w:r>
    </w:p>
    <w:p w14:paraId="287353B0" w14:textId="0B552647" w:rsidR="000C5B4B" w:rsidRDefault="00245311" w:rsidP="00F037B2">
      <w:pPr>
        <w:spacing w:after="0"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On &lt;insert date&gt; a </w:t>
      </w:r>
      <w:r w:rsidRPr="00245311">
        <w:rPr>
          <w:rFonts w:eastAsia="Times New Roman" w:cs="Arial"/>
          <w:i/>
          <w:iCs/>
          <w:color w:val="414042"/>
          <w:szCs w:val="20"/>
          <w:lang w:eastAsia="en-AU"/>
        </w:rPr>
        <w:t>Show Cause Notice</w:t>
      </w:r>
      <w:r>
        <w:rPr>
          <w:rFonts w:eastAsia="Times New Roman" w:cs="Arial"/>
          <w:color w:val="414042"/>
          <w:szCs w:val="20"/>
          <w:lang w:eastAsia="en-AU"/>
        </w:rPr>
        <w:t xml:space="preserve"> was issued </w:t>
      </w:r>
      <w:r w:rsidR="00577994">
        <w:rPr>
          <w:rFonts w:eastAsia="Times New Roman" w:cs="Arial"/>
          <w:color w:val="414042"/>
          <w:szCs w:val="20"/>
          <w:lang w:eastAsia="en-AU"/>
        </w:rPr>
        <w:t>in re</w:t>
      </w:r>
      <w:r w:rsidR="000C5B4B">
        <w:rPr>
          <w:rFonts w:eastAsia="Times New Roman" w:cs="Arial"/>
          <w:color w:val="414042"/>
          <w:szCs w:val="20"/>
          <w:lang w:eastAsia="en-AU"/>
        </w:rPr>
        <w:t>lation to this matter.</w:t>
      </w:r>
      <w:r w:rsidR="003557C3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0C5B4B">
        <w:rPr>
          <w:rFonts w:eastAsia="Times New Roman" w:cs="Arial"/>
          <w:color w:val="414042"/>
          <w:szCs w:val="20"/>
          <w:lang w:eastAsia="en-AU"/>
        </w:rPr>
        <w:t xml:space="preserve">&lt;select </w:t>
      </w:r>
      <w:r w:rsidR="003557C3">
        <w:rPr>
          <w:rFonts w:eastAsia="Times New Roman" w:cs="Arial"/>
          <w:color w:val="414042"/>
          <w:szCs w:val="20"/>
          <w:lang w:eastAsia="en-AU"/>
        </w:rPr>
        <w:t>next sentence</w:t>
      </w:r>
      <w:r w:rsidR="00D05A5E">
        <w:rPr>
          <w:rFonts w:eastAsia="Times New Roman" w:cs="Arial"/>
          <w:color w:val="414042"/>
          <w:szCs w:val="20"/>
          <w:lang w:eastAsia="en-AU"/>
        </w:rPr>
        <w:t>&gt;</w:t>
      </w:r>
    </w:p>
    <w:p w14:paraId="4638A6FC" w14:textId="38C6E9A8" w:rsidR="00D05A5E" w:rsidRDefault="00EC5EB0" w:rsidP="00427053">
      <w:pPr>
        <w:pStyle w:val="ListParagraph"/>
        <w:numPr>
          <w:ilvl w:val="0"/>
          <w:numId w:val="16"/>
        </w:numPr>
        <w:spacing w:line="280" w:lineRule="atLeast"/>
        <w:ind w:left="567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>The response received</w:t>
      </w:r>
      <w:r w:rsidR="003F3255">
        <w:rPr>
          <w:rFonts w:eastAsia="Times New Roman" w:cs="Arial"/>
          <w:color w:val="414042"/>
          <w:szCs w:val="20"/>
          <w:lang w:eastAsia="en-AU"/>
        </w:rPr>
        <w:t xml:space="preserve"> from &lt;insert supplier name&gt; </w:t>
      </w:r>
      <w:r w:rsidR="00E97EFA">
        <w:rPr>
          <w:rFonts w:eastAsia="Times New Roman" w:cs="Arial"/>
          <w:color w:val="414042"/>
          <w:szCs w:val="20"/>
          <w:lang w:eastAsia="en-AU"/>
        </w:rPr>
        <w:t>on &lt;insert date&gt; was assessed in line with the requirements of the &lt;Mandate/Threshold&gt;</w:t>
      </w:r>
      <w:r w:rsidR="007F7DE9">
        <w:rPr>
          <w:rFonts w:eastAsia="Times New Roman" w:cs="Arial"/>
          <w:color w:val="414042"/>
          <w:szCs w:val="20"/>
          <w:lang w:eastAsia="en-AU"/>
        </w:rPr>
        <w:t xml:space="preserve">, and the &lt;insert procuring agency&gt; </w:t>
      </w:r>
      <w:r w:rsidR="00D754E9">
        <w:rPr>
          <w:rFonts w:eastAsia="Times New Roman" w:cs="Arial"/>
          <w:color w:val="414042"/>
          <w:szCs w:val="20"/>
          <w:lang w:eastAsia="en-AU"/>
        </w:rPr>
        <w:t>determined the non-compliance matter was capable of being progressed.</w:t>
      </w:r>
    </w:p>
    <w:p w14:paraId="41FEB11E" w14:textId="47A90B95" w:rsidR="00E552BC" w:rsidRPr="00AD32EE" w:rsidRDefault="00575189" w:rsidP="00427053">
      <w:pPr>
        <w:pStyle w:val="ListParagraph"/>
        <w:numPr>
          <w:ilvl w:val="0"/>
          <w:numId w:val="16"/>
        </w:numPr>
        <w:spacing w:after="160" w:line="280" w:lineRule="atLeast"/>
        <w:ind w:left="567" w:hanging="357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No response was received from </w:t>
      </w:r>
      <w:r w:rsidR="00264C7D">
        <w:rPr>
          <w:rFonts w:eastAsia="Times New Roman" w:cs="Arial"/>
          <w:color w:val="414042"/>
          <w:szCs w:val="20"/>
          <w:lang w:eastAsia="en-AU"/>
        </w:rPr>
        <w:t>&lt;</w:t>
      </w:r>
      <w:r w:rsidR="007F015E">
        <w:rPr>
          <w:rFonts w:eastAsia="Times New Roman" w:cs="Arial"/>
          <w:color w:val="414042"/>
          <w:szCs w:val="20"/>
          <w:lang w:eastAsia="en-AU"/>
        </w:rPr>
        <w:t xml:space="preserve">Insert supplier name&gt; </w:t>
      </w:r>
      <w:r>
        <w:rPr>
          <w:rFonts w:eastAsia="Times New Roman" w:cs="Arial"/>
          <w:color w:val="414042"/>
          <w:szCs w:val="20"/>
          <w:lang w:eastAsia="en-AU"/>
        </w:rPr>
        <w:t>within</w:t>
      </w:r>
      <w:r w:rsidR="007F015E">
        <w:rPr>
          <w:rFonts w:eastAsia="Times New Roman" w:cs="Arial"/>
          <w:color w:val="414042"/>
          <w:szCs w:val="20"/>
          <w:lang w:eastAsia="en-AU"/>
        </w:rPr>
        <w:t xml:space="preserve"> ten (10) business days </w:t>
      </w:r>
      <w:r w:rsidR="00BF646D">
        <w:rPr>
          <w:rFonts w:eastAsia="Times New Roman" w:cs="Arial"/>
          <w:color w:val="414042"/>
          <w:szCs w:val="20"/>
          <w:lang w:eastAsia="en-AU"/>
        </w:rPr>
        <w:t xml:space="preserve">from </w:t>
      </w:r>
      <w:r w:rsidR="00027AF6">
        <w:rPr>
          <w:rFonts w:eastAsia="Times New Roman" w:cs="Arial"/>
          <w:color w:val="414042"/>
          <w:szCs w:val="20"/>
          <w:lang w:eastAsia="en-AU"/>
        </w:rPr>
        <w:t>issue</w:t>
      </w:r>
      <w:r w:rsidR="00BF646D">
        <w:rPr>
          <w:rFonts w:eastAsia="Times New Roman" w:cs="Arial"/>
          <w:color w:val="414042"/>
          <w:szCs w:val="20"/>
          <w:lang w:eastAsia="en-AU"/>
        </w:rPr>
        <w:t xml:space="preserve"> of the </w:t>
      </w:r>
      <w:r w:rsidR="00680031">
        <w:rPr>
          <w:rFonts w:eastAsia="Times New Roman" w:cs="Arial"/>
          <w:color w:val="414042"/>
          <w:szCs w:val="20"/>
          <w:lang w:eastAsia="en-AU"/>
        </w:rPr>
        <w:t>N</w:t>
      </w:r>
      <w:r w:rsidR="00BF646D">
        <w:rPr>
          <w:rFonts w:eastAsia="Times New Roman" w:cs="Arial"/>
          <w:color w:val="414042"/>
          <w:szCs w:val="20"/>
          <w:lang w:eastAsia="en-AU"/>
        </w:rPr>
        <w:t xml:space="preserve">otice </w:t>
      </w:r>
      <w:r w:rsidR="007D23A6">
        <w:rPr>
          <w:rFonts w:eastAsia="Times New Roman" w:cs="Arial"/>
          <w:color w:val="414042"/>
          <w:szCs w:val="20"/>
          <w:lang w:eastAsia="en-AU"/>
        </w:rPr>
        <w:t>and the matter was automatically</w:t>
      </w:r>
      <w:r w:rsidR="00C83F04">
        <w:rPr>
          <w:rFonts w:eastAsia="Times New Roman" w:cs="Arial"/>
          <w:color w:val="414042"/>
          <w:szCs w:val="20"/>
          <w:lang w:eastAsia="en-AU"/>
        </w:rPr>
        <w:t xml:space="preserve"> referred to the QGP Compliance Branch for progression to the Tripartite Procurement Advisory Panel (the Panel)</w:t>
      </w:r>
      <w:r w:rsidR="00F12C50">
        <w:rPr>
          <w:rFonts w:eastAsia="Times New Roman" w:cs="Arial"/>
          <w:color w:val="414042"/>
          <w:szCs w:val="20"/>
          <w:lang w:eastAsia="en-AU"/>
        </w:rPr>
        <w:t>.</w:t>
      </w:r>
    </w:p>
    <w:p w14:paraId="362E4481" w14:textId="592B4B75" w:rsidR="00570582" w:rsidRDefault="00570582" w:rsidP="00F037B2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</w:p>
    <w:p w14:paraId="4651E77F" w14:textId="6F62B3CE" w:rsidR="0028613A" w:rsidRDefault="00F60FE6" w:rsidP="008D6B84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b/>
          <w:bCs/>
          <w:color w:val="414042"/>
          <w:szCs w:val="20"/>
          <w:lang w:eastAsia="en-AU"/>
        </w:rPr>
        <w:t>EXTENUATING CIRCUMSTANCES PROCESS</w:t>
      </w:r>
    </w:p>
    <w:p w14:paraId="72C7B406" w14:textId="6805F2D0" w:rsidR="00570582" w:rsidRDefault="009B54C2" w:rsidP="00F037B2">
      <w:pPr>
        <w:tabs>
          <w:tab w:val="left" w:pos="142"/>
        </w:tabs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A meeting of the Panel will be convened </w:t>
      </w:r>
      <w:r w:rsidRPr="002D2DB5">
        <w:rPr>
          <w:rFonts w:eastAsia="Times New Roman" w:cs="Arial"/>
          <w:color w:val="414042"/>
          <w:szCs w:val="20"/>
          <w:lang w:eastAsia="en-AU"/>
        </w:rPr>
        <w:t xml:space="preserve">to consider </w:t>
      </w:r>
      <w:r w:rsidRPr="005B7AF1">
        <w:rPr>
          <w:rFonts w:eastAsia="Times New Roman" w:cs="Arial"/>
          <w:color w:val="414042"/>
          <w:szCs w:val="20"/>
          <w:lang w:eastAsia="en-AU"/>
        </w:rPr>
        <w:t xml:space="preserve">case details and associated evidence as referred by </w:t>
      </w:r>
      <w:r>
        <w:rPr>
          <w:rFonts w:eastAsia="Times New Roman" w:cs="Arial"/>
          <w:color w:val="414042"/>
          <w:szCs w:val="20"/>
          <w:lang w:eastAsia="en-AU"/>
        </w:rPr>
        <w:t xml:space="preserve">the </w:t>
      </w:r>
      <w:r w:rsidR="00191B1C">
        <w:rPr>
          <w:rFonts w:eastAsia="Times New Roman" w:cs="Arial"/>
          <w:color w:val="414042"/>
          <w:szCs w:val="20"/>
          <w:lang w:eastAsia="en-AU"/>
        </w:rPr>
        <w:t xml:space="preserve">&lt;insert </w:t>
      </w:r>
      <w:r w:rsidRPr="005B7AF1">
        <w:rPr>
          <w:rFonts w:eastAsia="Times New Roman" w:cs="Arial"/>
          <w:color w:val="414042"/>
          <w:szCs w:val="20"/>
          <w:lang w:eastAsia="en-AU"/>
        </w:rPr>
        <w:t>procuring agenc</w:t>
      </w:r>
      <w:r>
        <w:rPr>
          <w:rFonts w:eastAsia="Times New Roman" w:cs="Arial"/>
          <w:color w:val="414042"/>
          <w:szCs w:val="20"/>
          <w:lang w:eastAsia="en-AU"/>
        </w:rPr>
        <w:t>y</w:t>
      </w:r>
      <w:r w:rsidR="00191B1C">
        <w:rPr>
          <w:rFonts w:eastAsia="Times New Roman" w:cs="Arial"/>
          <w:color w:val="414042"/>
          <w:szCs w:val="20"/>
          <w:lang w:eastAsia="en-AU"/>
        </w:rPr>
        <w:t>&gt;</w:t>
      </w:r>
      <w:r w:rsidR="0032065D">
        <w:rPr>
          <w:rFonts w:eastAsia="Times New Roman" w:cs="Arial"/>
          <w:color w:val="414042"/>
          <w:szCs w:val="20"/>
          <w:lang w:eastAsia="en-AU"/>
        </w:rPr>
        <w:t>, along with</w:t>
      </w:r>
      <w:r w:rsidRPr="005B7AF1">
        <w:rPr>
          <w:rFonts w:eastAsia="Times New Roman" w:cs="Arial"/>
          <w:color w:val="414042"/>
          <w:szCs w:val="20"/>
          <w:lang w:eastAsia="en-AU"/>
        </w:rPr>
        <w:t xml:space="preserve"> any supplier submission in response to </w:t>
      </w:r>
      <w:r w:rsidR="00262BBF">
        <w:rPr>
          <w:rFonts w:eastAsia="Times New Roman" w:cs="Arial"/>
          <w:color w:val="414042"/>
          <w:szCs w:val="20"/>
          <w:lang w:eastAsia="en-AU"/>
        </w:rPr>
        <w:t>this</w:t>
      </w:r>
      <w:r w:rsidRPr="005B7AF1">
        <w:rPr>
          <w:rFonts w:eastAsia="Times New Roman" w:cs="Arial"/>
          <w:color w:val="414042"/>
          <w:szCs w:val="20"/>
          <w:lang w:eastAsia="en-AU"/>
        </w:rPr>
        <w:t xml:space="preserve"> </w:t>
      </w:r>
      <w:r w:rsidRPr="00262BBF">
        <w:rPr>
          <w:rFonts w:eastAsia="Times New Roman" w:cs="Arial"/>
          <w:i/>
          <w:iCs/>
          <w:color w:val="414042"/>
          <w:szCs w:val="20"/>
          <w:lang w:eastAsia="en-AU"/>
        </w:rPr>
        <w:t>Extenuating Circumstances Notice</w:t>
      </w:r>
      <w:r w:rsidRPr="005B7AF1">
        <w:rPr>
          <w:rFonts w:eastAsia="Times New Roman" w:cs="Arial"/>
          <w:color w:val="414042"/>
          <w:szCs w:val="20"/>
          <w:lang w:eastAsia="en-AU"/>
        </w:rPr>
        <w:t>. The Panel will make a recommendation about the alleged breach and appropriate penalty for consideration by the decision maker.</w:t>
      </w:r>
    </w:p>
    <w:p w14:paraId="4EC01911" w14:textId="7B5F1001" w:rsidR="007A5152" w:rsidRPr="00F046C7" w:rsidRDefault="007E2A5B" w:rsidP="00F046C7">
      <w:pPr>
        <w:tabs>
          <w:tab w:val="left" w:pos="142"/>
        </w:tabs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lastRenderedPageBreak/>
        <w:t>The e</w:t>
      </w:r>
      <w:r w:rsidR="00834260">
        <w:rPr>
          <w:rFonts w:eastAsia="Times New Roman" w:cs="Arial"/>
          <w:color w:val="414042"/>
          <w:szCs w:val="20"/>
          <w:lang w:eastAsia="en-AU"/>
        </w:rPr>
        <w:t>xtenuating circumstances proce</w:t>
      </w:r>
      <w:r w:rsidR="001B5958">
        <w:rPr>
          <w:rFonts w:eastAsia="Times New Roman" w:cs="Arial"/>
          <w:color w:val="414042"/>
          <w:szCs w:val="20"/>
          <w:lang w:eastAsia="en-AU"/>
        </w:rPr>
        <w:t>ss</w:t>
      </w:r>
      <w:r w:rsidR="00834260">
        <w:rPr>
          <w:rFonts w:eastAsia="Times New Roman" w:cs="Arial"/>
          <w:color w:val="414042"/>
          <w:szCs w:val="20"/>
          <w:lang w:eastAsia="en-AU"/>
        </w:rPr>
        <w:t xml:space="preserve"> allow</w:t>
      </w:r>
      <w:r w:rsidR="001B5958">
        <w:rPr>
          <w:rFonts w:eastAsia="Times New Roman" w:cs="Arial"/>
          <w:color w:val="414042"/>
          <w:szCs w:val="20"/>
          <w:lang w:eastAsia="en-AU"/>
        </w:rPr>
        <w:t>s</w:t>
      </w:r>
      <w:r w:rsidR="00834260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1B5958">
        <w:rPr>
          <w:rFonts w:eastAsia="Times New Roman" w:cs="Arial"/>
          <w:color w:val="414042"/>
          <w:szCs w:val="20"/>
          <w:lang w:eastAsia="en-AU"/>
        </w:rPr>
        <w:t xml:space="preserve">an opportunity </w:t>
      </w:r>
      <w:r w:rsidR="00834260">
        <w:rPr>
          <w:rFonts w:eastAsia="Times New Roman" w:cs="Arial"/>
          <w:color w:val="414042"/>
          <w:szCs w:val="20"/>
          <w:lang w:eastAsia="en-AU"/>
        </w:rPr>
        <w:t>for &lt;in</w:t>
      </w:r>
      <w:r w:rsidR="00105955">
        <w:rPr>
          <w:rFonts w:eastAsia="Times New Roman" w:cs="Arial"/>
          <w:color w:val="414042"/>
          <w:szCs w:val="20"/>
          <w:lang w:eastAsia="en-AU"/>
        </w:rPr>
        <w:t>sert supplier name&gt;</w:t>
      </w:r>
      <w:r w:rsidR="00B9129C">
        <w:rPr>
          <w:rFonts w:eastAsia="Times New Roman" w:cs="Arial"/>
          <w:color w:val="414042"/>
          <w:szCs w:val="20"/>
          <w:lang w:eastAsia="en-AU"/>
        </w:rPr>
        <w:t xml:space="preserve"> to provide any extenuating details</w:t>
      </w:r>
      <w:r w:rsidR="00C41B36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EA63C0" w:rsidRPr="00343472">
        <w:rPr>
          <w:rFonts w:eastAsia="Times New Roman" w:cs="Arial"/>
          <w:color w:val="414042"/>
          <w:szCs w:val="20"/>
          <w:lang w:eastAsia="en-AU"/>
        </w:rPr>
        <w:t>regarding</w:t>
      </w:r>
      <w:r w:rsidR="00261CAE" w:rsidRPr="00343472">
        <w:rPr>
          <w:rFonts w:eastAsia="Times New Roman" w:cs="Arial"/>
          <w:color w:val="414042"/>
          <w:szCs w:val="20"/>
          <w:lang w:eastAsia="en-AU"/>
        </w:rPr>
        <w:t xml:space="preserve"> how</w:t>
      </w:r>
      <w:r w:rsidR="00A23DB0" w:rsidRPr="00343472">
        <w:rPr>
          <w:rFonts w:eastAsia="Times New Roman" w:cs="Arial"/>
          <w:color w:val="414042"/>
          <w:szCs w:val="20"/>
          <w:lang w:eastAsia="en-AU"/>
        </w:rPr>
        <w:t xml:space="preserve"> the </w:t>
      </w:r>
      <w:r w:rsidR="00261CAE" w:rsidRPr="00343472">
        <w:rPr>
          <w:rFonts w:eastAsia="Times New Roman" w:cs="Arial"/>
          <w:color w:val="414042"/>
          <w:szCs w:val="20"/>
          <w:lang w:eastAsia="en-AU"/>
        </w:rPr>
        <w:t>alleged</w:t>
      </w:r>
      <w:r w:rsidR="00A23DB0" w:rsidRPr="00343472">
        <w:rPr>
          <w:rFonts w:eastAsia="Times New Roman" w:cs="Arial"/>
          <w:color w:val="414042"/>
          <w:szCs w:val="20"/>
          <w:lang w:eastAsia="en-AU"/>
        </w:rPr>
        <w:t xml:space="preserve"> breach </w:t>
      </w:r>
      <w:r w:rsidR="00261CAE" w:rsidRPr="00343472">
        <w:rPr>
          <w:rFonts w:eastAsia="Times New Roman" w:cs="Arial"/>
          <w:color w:val="414042"/>
          <w:szCs w:val="20"/>
          <w:lang w:eastAsia="en-AU"/>
        </w:rPr>
        <w:t>may have occurred</w:t>
      </w:r>
      <w:r w:rsidR="00154F28">
        <w:rPr>
          <w:rFonts w:eastAsia="Times New Roman" w:cs="Arial"/>
          <w:color w:val="414042"/>
          <w:szCs w:val="20"/>
          <w:lang w:eastAsia="en-AU"/>
        </w:rPr>
        <w:t xml:space="preserve"> or any extenuating circumstances that it would like to have considered in relation to the breach and possible imposition of demerits</w:t>
      </w:r>
      <w:r w:rsidR="00A23DB0" w:rsidRPr="00343472">
        <w:rPr>
          <w:rFonts w:eastAsia="Times New Roman" w:cs="Arial"/>
          <w:color w:val="414042"/>
          <w:szCs w:val="20"/>
          <w:lang w:eastAsia="en-AU"/>
        </w:rPr>
        <w:t>.</w:t>
      </w:r>
      <w:r w:rsidR="00882A79">
        <w:rPr>
          <w:rFonts w:eastAsia="Times New Roman" w:cs="Arial"/>
          <w:color w:val="414042"/>
          <w:szCs w:val="20"/>
          <w:lang w:eastAsia="en-AU"/>
        </w:rPr>
        <w:t xml:space="preserve"> Any respons</w:t>
      </w:r>
      <w:r w:rsidR="00776B7D">
        <w:rPr>
          <w:rFonts w:eastAsia="Times New Roman" w:cs="Arial"/>
          <w:color w:val="414042"/>
          <w:szCs w:val="20"/>
          <w:lang w:eastAsia="en-AU"/>
        </w:rPr>
        <w:t xml:space="preserve">e submitted should be supported by evidence or proof of the </w:t>
      </w:r>
      <w:r w:rsidR="00A73839">
        <w:rPr>
          <w:rFonts w:eastAsia="Times New Roman" w:cs="Arial"/>
          <w:color w:val="414042"/>
          <w:szCs w:val="20"/>
          <w:lang w:eastAsia="en-AU"/>
        </w:rPr>
        <w:t>supplier’s</w:t>
      </w:r>
      <w:r w:rsidR="004B1633">
        <w:rPr>
          <w:rFonts w:eastAsia="Times New Roman" w:cs="Arial"/>
          <w:color w:val="414042"/>
          <w:szCs w:val="20"/>
          <w:lang w:eastAsia="en-AU"/>
        </w:rPr>
        <w:t xml:space="preserve"> position with regards to the </w:t>
      </w:r>
      <w:r w:rsidR="00776B7D">
        <w:rPr>
          <w:rFonts w:eastAsia="Times New Roman" w:cs="Arial"/>
          <w:color w:val="414042"/>
          <w:szCs w:val="20"/>
          <w:lang w:eastAsia="en-AU"/>
        </w:rPr>
        <w:t>detailed claim</w:t>
      </w:r>
      <w:r w:rsidR="004B1633">
        <w:rPr>
          <w:rFonts w:eastAsia="Times New Roman" w:cs="Arial"/>
          <w:color w:val="414042"/>
          <w:szCs w:val="20"/>
          <w:lang w:eastAsia="en-AU"/>
        </w:rPr>
        <w:t xml:space="preserve"> made by the procu</w:t>
      </w:r>
      <w:r w:rsidR="00A73839">
        <w:rPr>
          <w:rFonts w:eastAsia="Times New Roman" w:cs="Arial"/>
          <w:color w:val="414042"/>
          <w:szCs w:val="20"/>
          <w:lang w:eastAsia="en-AU"/>
        </w:rPr>
        <w:t>ring agency which referred the matter</w:t>
      </w:r>
      <w:r w:rsidR="00776B7D">
        <w:rPr>
          <w:rFonts w:eastAsia="Times New Roman" w:cs="Arial"/>
          <w:color w:val="414042"/>
          <w:szCs w:val="20"/>
          <w:lang w:eastAsia="en-AU"/>
        </w:rPr>
        <w:t>.</w:t>
      </w:r>
      <w:r w:rsidR="00B20AC0">
        <w:rPr>
          <w:rFonts w:eastAsia="Times New Roman" w:cs="Arial"/>
          <w:color w:val="414042"/>
          <w:szCs w:val="20"/>
          <w:lang w:eastAsia="en-AU"/>
        </w:rPr>
        <w:t xml:space="preserve"> You </w:t>
      </w:r>
      <w:r w:rsidR="00A109C2">
        <w:rPr>
          <w:rFonts w:eastAsia="Times New Roman" w:cs="Arial"/>
          <w:color w:val="414042"/>
          <w:szCs w:val="20"/>
          <w:lang w:eastAsia="en-AU"/>
        </w:rPr>
        <w:t>m</w:t>
      </w:r>
      <w:r w:rsidR="00B20AC0">
        <w:rPr>
          <w:rFonts w:eastAsia="Times New Roman" w:cs="Arial"/>
          <w:color w:val="414042"/>
          <w:szCs w:val="20"/>
          <w:lang w:eastAsia="en-AU"/>
        </w:rPr>
        <w:t>a</w:t>
      </w:r>
      <w:r w:rsidR="00A109C2">
        <w:rPr>
          <w:rFonts w:eastAsia="Times New Roman" w:cs="Arial"/>
          <w:color w:val="414042"/>
          <w:szCs w:val="20"/>
          <w:lang w:eastAsia="en-AU"/>
        </w:rPr>
        <w:t>y</w:t>
      </w:r>
      <w:r w:rsidR="00B20AC0">
        <w:rPr>
          <w:rFonts w:eastAsia="Times New Roman" w:cs="Arial"/>
          <w:color w:val="414042"/>
          <w:szCs w:val="20"/>
          <w:lang w:eastAsia="en-AU"/>
        </w:rPr>
        <w:t xml:space="preserve"> refer to the Mandate for more information about this process.</w:t>
      </w:r>
    </w:p>
    <w:p w14:paraId="268A1692" w14:textId="1A909B22" w:rsidR="00BA5B8F" w:rsidRDefault="00BA5B8F" w:rsidP="00BA5B8F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b/>
          <w:bCs/>
          <w:color w:val="414042"/>
          <w:szCs w:val="20"/>
          <w:lang w:eastAsia="en-AU"/>
        </w:rPr>
        <w:t>PROVIDING A RESPONSE</w:t>
      </w:r>
    </w:p>
    <w:p w14:paraId="53D08B35" w14:textId="621E8C5E" w:rsidR="00880C08" w:rsidRDefault="00880C08" w:rsidP="00880C08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You are invited to make written representations about </w:t>
      </w:r>
      <w:r w:rsidR="0095592D">
        <w:rPr>
          <w:rFonts w:eastAsia="Times New Roman" w:cs="Arial"/>
          <w:color w:val="414042"/>
          <w:szCs w:val="20"/>
          <w:lang w:eastAsia="en-AU"/>
        </w:rPr>
        <w:t>any</w:t>
      </w:r>
      <w:r w:rsidR="006445CA">
        <w:rPr>
          <w:rFonts w:eastAsia="Times New Roman" w:cs="Arial"/>
          <w:color w:val="414042"/>
          <w:szCs w:val="20"/>
          <w:lang w:eastAsia="en-AU"/>
        </w:rPr>
        <w:t xml:space="preserve"> extenuating circumstances that you would like to h</w:t>
      </w:r>
      <w:r w:rsidR="00E10BB3">
        <w:rPr>
          <w:rFonts w:eastAsia="Times New Roman" w:cs="Arial"/>
          <w:color w:val="414042"/>
          <w:szCs w:val="20"/>
          <w:lang w:eastAsia="en-AU"/>
        </w:rPr>
        <w:t>a</w:t>
      </w:r>
      <w:r w:rsidR="006445CA">
        <w:rPr>
          <w:rFonts w:eastAsia="Times New Roman" w:cs="Arial"/>
          <w:color w:val="414042"/>
          <w:szCs w:val="20"/>
          <w:lang w:eastAsia="en-AU"/>
        </w:rPr>
        <w:t>ve considered in relation to the alleged breach and possible imposition of demerits</w:t>
      </w:r>
      <w:r w:rsidR="00E10BB3">
        <w:rPr>
          <w:rFonts w:eastAsia="Times New Roman" w:cs="Arial"/>
          <w:color w:val="414042"/>
          <w:szCs w:val="20"/>
          <w:lang w:eastAsia="en-AU"/>
        </w:rPr>
        <w:t xml:space="preserve"> u</w:t>
      </w:r>
      <w:r>
        <w:rPr>
          <w:rFonts w:eastAsia="Times New Roman" w:cs="Arial"/>
          <w:color w:val="414042"/>
          <w:szCs w:val="20"/>
          <w:lang w:eastAsia="en-AU"/>
        </w:rPr>
        <w:t>nder the Mandate.</w:t>
      </w:r>
    </w:p>
    <w:p w14:paraId="72525146" w14:textId="7A6248EA" w:rsidR="00570582" w:rsidRPr="00443D53" w:rsidRDefault="00570582" w:rsidP="00F037B2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This </w:t>
      </w:r>
      <w:r w:rsidR="00F70550">
        <w:rPr>
          <w:rFonts w:eastAsia="Times New Roman" w:cs="Arial"/>
          <w:color w:val="414042"/>
          <w:szCs w:val="20"/>
          <w:lang w:eastAsia="en-AU"/>
        </w:rPr>
        <w:t>N</w:t>
      </w:r>
      <w:r>
        <w:rPr>
          <w:rFonts w:eastAsia="Times New Roman" w:cs="Arial"/>
          <w:color w:val="414042"/>
          <w:szCs w:val="20"/>
          <w:lang w:eastAsia="en-AU"/>
        </w:rPr>
        <w:t xml:space="preserve">otice </w:t>
      </w:r>
      <w:r w:rsidR="00A81F94">
        <w:rPr>
          <w:rFonts w:eastAsia="Times New Roman" w:cs="Arial"/>
          <w:color w:val="414042"/>
          <w:szCs w:val="20"/>
          <w:lang w:eastAsia="en-AU"/>
        </w:rPr>
        <w:t>is</w:t>
      </w:r>
      <w:r>
        <w:rPr>
          <w:rFonts w:eastAsia="Times New Roman" w:cs="Arial"/>
          <w:color w:val="414042"/>
          <w:szCs w:val="20"/>
          <w:lang w:eastAsia="en-AU"/>
        </w:rPr>
        <w:t xml:space="preserve"> the </w:t>
      </w:r>
      <w:r w:rsidR="002D1FC7">
        <w:rPr>
          <w:rFonts w:eastAsia="Times New Roman" w:cs="Arial"/>
          <w:color w:val="414042"/>
          <w:szCs w:val="20"/>
          <w:lang w:eastAsia="en-AU"/>
        </w:rPr>
        <w:t>second</w:t>
      </w:r>
      <w:r>
        <w:rPr>
          <w:rFonts w:eastAsia="Times New Roman" w:cs="Arial"/>
          <w:color w:val="414042"/>
          <w:szCs w:val="20"/>
          <w:lang w:eastAsia="en-AU"/>
        </w:rPr>
        <w:t xml:space="preserve"> formal opportunity </w:t>
      </w:r>
      <w:r w:rsidR="00D66EB0">
        <w:rPr>
          <w:rFonts w:eastAsia="Times New Roman" w:cs="Arial"/>
          <w:color w:val="414042"/>
          <w:szCs w:val="20"/>
          <w:lang w:eastAsia="en-AU"/>
        </w:rPr>
        <w:t>for you to respond</w:t>
      </w:r>
      <w:r>
        <w:rPr>
          <w:rFonts w:eastAsia="Times New Roman" w:cs="Arial"/>
          <w:color w:val="414042"/>
          <w:szCs w:val="20"/>
          <w:lang w:eastAsia="en-AU"/>
        </w:rPr>
        <w:t xml:space="preserve"> to the allegation</w:t>
      </w:r>
      <w:r w:rsidR="00347816">
        <w:rPr>
          <w:rFonts w:eastAsia="Times New Roman" w:cs="Arial"/>
          <w:color w:val="414042"/>
          <w:szCs w:val="20"/>
          <w:lang w:eastAsia="en-AU"/>
        </w:rPr>
        <w:t>(s)</w:t>
      </w:r>
      <w:r>
        <w:rPr>
          <w:rFonts w:eastAsia="Times New Roman" w:cs="Arial"/>
          <w:color w:val="414042"/>
          <w:szCs w:val="20"/>
          <w:lang w:eastAsia="en-AU"/>
        </w:rPr>
        <w:t xml:space="preserve"> outlined. Any reply to this </w:t>
      </w:r>
      <w:r w:rsidR="00F70550">
        <w:rPr>
          <w:rFonts w:eastAsia="Times New Roman" w:cs="Arial"/>
          <w:color w:val="414042"/>
          <w:szCs w:val="20"/>
          <w:lang w:eastAsia="en-AU"/>
        </w:rPr>
        <w:t>N</w:t>
      </w:r>
      <w:r w:rsidR="003A74B8">
        <w:rPr>
          <w:rFonts w:eastAsia="Times New Roman" w:cs="Arial"/>
          <w:color w:val="414042"/>
          <w:szCs w:val="20"/>
          <w:lang w:eastAsia="en-AU"/>
        </w:rPr>
        <w:t>otice</w:t>
      </w:r>
      <w:r>
        <w:rPr>
          <w:rFonts w:eastAsia="Times New Roman" w:cs="Arial"/>
          <w:color w:val="414042"/>
          <w:szCs w:val="20"/>
          <w:lang w:eastAsia="en-AU"/>
        </w:rPr>
        <w:t xml:space="preserve"> is required in writing and should </w:t>
      </w:r>
      <w:r w:rsidR="0072747D">
        <w:rPr>
          <w:rFonts w:eastAsia="Times New Roman" w:cs="Arial"/>
          <w:color w:val="414042"/>
          <w:szCs w:val="20"/>
          <w:lang w:eastAsia="en-AU"/>
        </w:rPr>
        <w:t>outline</w:t>
      </w:r>
      <w:r w:rsidRPr="00443D53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004BFE">
        <w:rPr>
          <w:rFonts w:eastAsia="Times New Roman" w:cs="Arial"/>
          <w:color w:val="414042"/>
          <w:szCs w:val="20"/>
          <w:lang w:eastAsia="en-AU"/>
        </w:rPr>
        <w:t xml:space="preserve">any extenuating circumstances </w:t>
      </w:r>
      <w:r w:rsidR="005A290D">
        <w:rPr>
          <w:rFonts w:eastAsia="Times New Roman" w:cs="Arial"/>
          <w:color w:val="414042"/>
          <w:szCs w:val="20"/>
          <w:lang w:eastAsia="en-AU"/>
        </w:rPr>
        <w:t>that may have led to the non-compliance occurring</w:t>
      </w:r>
      <w:r w:rsidR="00B76424">
        <w:rPr>
          <w:rFonts w:eastAsia="Times New Roman" w:cs="Arial"/>
          <w:color w:val="414042"/>
          <w:szCs w:val="20"/>
          <w:lang w:eastAsia="en-AU"/>
        </w:rPr>
        <w:t xml:space="preserve"> and attach any information that you consider relevant</w:t>
      </w:r>
      <w:r w:rsidR="0072747D">
        <w:rPr>
          <w:rFonts w:eastAsia="Times New Roman" w:cs="Arial"/>
          <w:color w:val="414042"/>
          <w:szCs w:val="20"/>
          <w:lang w:eastAsia="en-AU"/>
        </w:rPr>
        <w:t>.</w:t>
      </w:r>
      <w:r w:rsidRPr="00443D53">
        <w:rPr>
          <w:rFonts w:eastAsia="Times New Roman" w:cs="Arial"/>
          <w:color w:val="414042"/>
          <w:szCs w:val="20"/>
          <w:lang w:eastAsia="en-AU"/>
        </w:rPr>
        <w:t xml:space="preserve"> </w:t>
      </w:r>
    </w:p>
    <w:p w14:paraId="5B04D773" w14:textId="02C6DDAC" w:rsidR="00570582" w:rsidRDefault="00570582" w:rsidP="00F037B2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43D53">
        <w:rPr>
          <w:rFonts w:eastAsia="Times New Roman" w:cs="Arial"/>
          <w:color w:val="414042"/>
          <w:szCs w:val="20"/>
          <w:lang w:eastAsia="en-AU"/>
        </w:rPr>
        <w:t xml:space="preserve">Any response you wish to provide should be </w:t>
      </w:r>
      <w:r>
        <w:rPr>
          <w:rFonts w:eastAsia="Times New Roman" w:cs="Arial"/>
          <w:color w:val="414042"/>
          <w:szCs w:val="20"/>
          <w:lang w:eastAsia="en-AU"/>
        </w:rPr>
        <w:t>received by the</w:t>
      </w:r>
      <w:r w:rsidRPr="00443D53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F47269">
        <w:rPr>
          <w:rFonts w:eastAsia="Times New Roman" w:cs="Arial"/>
          <w:color w:val="414042"/>
          <w:szCs w:val="20"/>
          <w:lang w:eastAsia="en-AU"/>
        </w:rPr>
        <w:t>QGP Compliance Branch</w:t>
      </w:r>
      <w:r>
        <w:rPr>
          <w:rFonts w:eastAsia="Times New Roman" w:cs="Arial"/>
          <w:color w:val="414042"/>
          <w:szCs w:val="20"/>
          <w:lang w:eastAsia="en-AU"/>
        </w:rPr>
        <w:t xml:space="preserve"> </w:t>
      </w:r>
      <w:r w:rsidRPr="00443D53">
        <w:rPr>
          <w:rFonts w:eastAsia="Times New Roman" w:cs="Arial"/>
          <w:color w:val="414042"/>
          <w:szCs w:val="20"/>
          <w:lang w:eastAsia="en-AU"/>
        </w:rPr>
        <w:t xml:space="preserve">within ten (10) business days of </w:t>
      </w:r>
      <w:r w:rsidR="000B1757">
        <w:rPr>
          <w:rFonts w:eastAsia="Times New Roman" w:cs="Arial"/>
          <w:color w:val="414042"/>
          <w:szCs w:val="20"/>
          <w:lang w:eastAsia="en-AU"/>
        </w:rPr>
        <w:t>issu</w:t>
      </w:r>
      <w:r w:rsidR="003E600F">
        <w:rPr>
          <w:rFonts w:eastAsia="Times New Roman" w:cs="Arial"/>
          <w:color w:val="414042"/>
          <w:szCs w:val="20"/>
          <w:lang w:eastAsia="en-AU"/>
        </w:rPr>
        <w:t>e</w:t>
      </w:r>
      <w:r w:rsidRPr="00443D53">
        <w:rPr>
          <w:rFonts w:eastAsia="Times New Roman" w:cs="Arial"/>
          <w:color w:val="414042"/>
          <w:szCs w:val="20"/>
          <w:lang w:eastAsia="en-AU"/>
        </w:rPr>
        <w:t xml:space="preserve"> of this </w:t>
      </w:r>
      <w:r w:rsidR="00F70550">
        <w:rPr>
          <w:rFonts w:eastAsia="Times New Roman" w:cs="Arial"/>
          <w:color w:val="414042"/>
          <w:szCs w:val="20"/>
          <w:lang w:eastAsia="en-AU"/>
        </w:rPr>
        <w:t>N</w:t>
      </w:r>
      <w:r w:rsidRPr="00443D53">
        <w:rPr>
          <w:rFonts w:eastAsia="Times New Roman" w:cs="Arial"/>
          <w:color w:val="414042"/>
          <w:szCs w:val="20"/>
          <w:lang w:eastAsia="en-AU"/>
        </w:rPr>
        <w:t>otice</w:t>
      </w:r>
      <w:r>
        <w:rPr>
          <w:rFonts w:eastAsia="Times New Roman" w:cs="Arial"/>
          <w:color w:val="414042"/>
          <w:szCs w:val="20"/>
          <w:lang w:eastAsia="en-AU"/>
        </w:rPr>
        <w:t>. Please issue all responses to:</w:t>
      </w:r>
    </w:p>
    <w:p w14:paraId="63CA3BB4" w14:textId="1D9D2DC8" w:rsidR="00570582" w:rsidRDefault="00570582" w:rsidP="00F037B2">
      <w:pPr>
        <w:spacing w:after="4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>Name:</w:t>
      </w: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 w:rsidR="008D6B84">
        <w:rPr>
          <w:rFonts w:eastAsia="Times New Roman" w:cs="Arial"/>
          <w:color w:val="414042"/>
          <w:szCs w:val="20"/>
          <w:lang w:eastAsia="en-AU"/>
        </w:rPr>
        <w:t>&lt;insert name&gt;</w:t>
      </w:r>
      <w:r>
        <w:rPr>
          <w:rFonts w:eastAsia="Times New Roman" w:cs="Arial"/>
          <w:color w:val="414042"/>
          <w:szCs w:val="20"/>
          <w:lang w:eastAsia="en-AU"/>
        </w:rPr>
        <w:tab/>
      </w:r>
    </w:p>
    <w:p w14:paraId="60615BEE" w14:textId="07CD9F58" w:rsidR="00570582" w:rsidRDefault="00570582" w:rsidP="00F037B2">
      <w:pPr>
        <w:spacing w:after="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>Postal Address:</w:t>
      </w: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 w:rsidR="004F22B3">
        <w:rPr>
          <w:rFonts w:eastAsia="Times New Roman" w:cs="Arial"/>
          <w:color w:val="414042"/>
          <w:szCs w:val="20"/>
          <w:lang w:eastAsia="en-AU"/>
        </w:rPr>
        <w:t>Level 15, Mineral House</w:t>
      </w:r>
    </w:p>
    <w:p w14:paraId="121096C0" w14:textId="56E09401" w:rsidR="00570582" w:rsidRDefault="00570582" w:rsidP="00F037B2">
      <w:pPr>
        <w:spacing w:after="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 w:rsidR="004F22B3">
        <w:rPr>
          <w:rFonts w:eastAsia="Times New Roman" w:cs="Arial"/>
          <w:color w:val="414042"/>
          <w:szCs w:val="20"/>
          <w:lang w:eastAsia="en-AU"/>
        </w:rPr>
        <w:t>41 George St</w:t>
      </w:r>
      <w:r w:rsidR="0023059D">
        <w:rPr>
          <w:rFonts w:eastAsia="Times New Roman" w:cs="Arial"/>
          <w:color w:val="414042"/>
          <w:szCs w:val="20"/>
          <w:lang w:eastAsia="en-AU"/>
        </w:rPr>
        <w:t>reet</w:t>
      </w:r>
    </w:p>
    <w:p w14:paraId="2173FCB3" w14:textId="171A8419" w:rsidR="00570582" w:rsidRDefault="00570582" w:rsidP="00F037B2">
      <w:pPr>
        <w:spacing w:after="4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 w:rsidR="0023059D">
        <w:rPr>
          <w:rFonts w:eastAsia="Times New Roman" w:cs="Arial"/>
          <w:color w:val="414042"/>
          <w:szCs w:val="20"/>
          <w:lang w:eastAsia="en-AU"/>
        </w:rPr>
        <w:t>Brisbane City, 4000</w:t>
      </w:r>
    </w:p>
    <w:p w14:paraId="79B2144C" w14:textId="78E9C266" w:rsidR="00570582" w:rsidRDefault="00570582" w:rsidP="00F037B2">
      <w:pPr>
        <w:spacing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Email: </w:t>
      </w: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r>
        <w:rPr>
          <w:rFonts w:eastAsia="Times New Roman" w:cs="Arial"/>
          <w:color w:val="414042"/>
          <w:szCs w:val="20"/>
          <w:lang w:eastAsia="en-AU"/>
        </w:rPr>
        <w:tab/>
      </w:r>
      <w:hyperlink r:id="rId11" w:history="1">
        <w:r w:rsidR="002351D5" w:rsidRPr="00B37295">
          <w:rPr>
            <w:rStyle w:val="Hyperlink"/>
            <w:rFonts w:eastAsia="Times New Roman" w:cs="Arial"/>
            <w:szCs w:val="20"/>
            <w:lang w:eastAsia="en-AU"/>
          </w:rPr>
          <w:t>ethicalsupply@epw.qld.gov.au</w:t>
        </w:r>
      </w:hyperlink>
      <w:r w:rsidR="00A81F94">
        <w:rPr>
          <w:rFonts w:eastAsia="Times New Roman" w:cs="Arial"/>
          <w:color w:val="414042"/>
          <w:szCs w:val="20"/>
          <w:lang w:eastAsia="en-AU"/>
        </w:rPr>
        <w:t xml:space="preserve"> </w:t>
      </w:r>
    </w:p>
    <w:p w14:paraId="5EF6A8B7" w14:textId="227CA15A" w:rsidR="001D583A" w:rsidRDefault="00570582" w:rsidP="00F037B2">
      <w:pPr>
        <w:pStyle w:val="BodyText"/>
        <w:spacing w:after="160" w:line="280" w:lineRule="atLeast"/>
        <w:rPr>
          <w:rFonts w:cs="Arial"/>
          <w:color w:val="414042"/>
          <w:sz w:val="20"/>
          <w:szCs w:val="20"/>
        </w:rPr>
      </w:pPr>
      <w:r w:rsidRPr="006B6D12">
        <w:rPr>
          <w:rFonts w:cs="Arial"/>
          <w:color w:val="414042"/>
          <w:sz w:val="20"/>
          <w:szCs w:val="20"/>
        </w:rPr>
        <w:t xml:space="preserve">You may request an extension </w:t>
      </w:r>
      <w:r w:rsidR="003E3C1F">
        <w:rPr>
          <w:rFonts w:cs="Arial"/>
          <w:color w:val="414042"/>
          <w:sz w:val="20"/>
          <w:szCs w:val="20"/>
        </w:rPr>
        <w:t>beyond</w:t>
      </w:r>
      <w:r w:rsidRPr="006B6D12">
        <w:rPr>
          <w:rFonts w:cs="Arial"/>
          <w:color w:val="414042"/>
          <w:sz w:val="20"/>
          <w:szCs w:val="20"/>
        </w:rPr>
        <w:t xml:space="preserve"> the </w:t>
      </w:r>
      <w:r w:rsidR="00A81F94">
        <w:rPr>
          <w:rFonts w:cs="Arial"/>
          <w:color w:val="414042"/>
          <w:sz w:val="20"/>
          <w:szCs w:val="20"/>
        </w:rPr>
        <w:t>ten (</w:t>
      </w:r>
      <w:r w:rsidRPr="006B6D12">
        <w:rPr>
          <w:rFonts w:cs="Arial"/>
          <w:color w:val="414042"/>
          <w:sz w:val="20"/>
          <w:szCs w:val="20"/>
        </w:rPr>
        <w:t>10</w:t>
      </w:r>
      <w:r w:rsidR="00A81F94">
        <w:rPr>
          <w:rFonts w:cs="Arial"/>
          <w:color w:val="414042"/>
          <w:sz w:val="20"/>
          <w:szCs w:val="20"/>
        </w:rPr>
        <w:t xml:space="preserve">) </w:t>
      </w:r>
      <w:r w:rsidRPr="006B6D12">
        <w:rPr>
          <w:rFonts w:cs="Arial"/>
          <w:color w:val="414042"/>
          <w:sz w:val="20"/>
          <w:szCs w:val="20"/>
        </w:rPr>
        <w:t>day timeframe to respond if required.</w:t>
      </w:r>
      <w:r w:rsidR="0073190A">
        <w:rPr>
          <w:rFonts w:cs="Arial"/>
          <w:color w:val="414042"/>
          <w:sz w:val="20"/>
          <w:szCs w:val="20"/>
        </w:rPr>
        <w:t xml:space="preserve"> Sound reas</w:t>
      </w:r>
      <w:r w:rsidR="000C09BF">
        <w:rPr>
          <w:rFonts w:cs="Arial"/>
          <w:color w:val="414042"/>
          <w:sz w:val="20"/>
          <w:szCs w:val="20"/>
        </w:rPr>
        <w:t>ons must be provided for the extension.</w:t>
      </w:r>
      <w:r w:rsidRPr="006B6D12">
        <w:rPr>
          <w:rFonts w:cs="Arial"/>
          <w:color w:val="414042"/>
          <w:sz w:val="20"/>
          <w:szCs w:val="20"/>
        </w:rPr>
        <w:t xml:space="preserve"> The </w:t>
      </w:r>
      <w:r w:rsidR="008310D7">
        <w:rPr>
          <w:rFonts w:cs="Arial"/>
          <w:color w:val="414042"/>
          <w:sz w:val="20"/>
          <w:szCs w:val="20"/>
        </w:rPr>
        <w:t>QGP Compliance Branch</w:t>
      </w:r>
      <w:r w:rsidRPr="006B6D12">
        <w:rPr>
          <w:rFonts w:cs="Arial"/>
          <w:color w:val="414042"/>
          <w:sz w:val="20"/>
          <w:szCs w:val="20"/>
        </w:rPr>
        <w:t xml:space="preserve"> will </w:t>
      </w:r>
      <w:r>
        <w:rPr>
          <w:rFonts w:cs="Arial"/>
          <w:color w:val="414042"/>
          <w:sz w:val="20"/>
          <w:szCs w:val="20"/>
        </w:rPr>
        <w:t>provide communication</w:t>
      </w:r>
      <w:r w:rsidRPr="006B6D12">
        <w:rPr>
          <w:rFonts w:cs="Arial"/>
          <w:color w:val="414042"/>
          <w:sz w:val="20"/>
          <w:szCs w:val="20"/>
        </w:rPr>
        <w:t xml:space="preserve"> confirming whether this extension has been granted. </w:t>
      </w:r>
    </w:p>
    <w:p w14:paraId="3FC1AD6F" w14:textId="37B356DD" w:rsidR="00570582" w:rsidRPr="006B6D12" w:rsidRDefault="001D583A" w:rsidP="001D583A">
      <w:pPr>
        <w:pStyle w:val="BodyText"/>
        <w:spacing w:before="160" w:after="60" w:line="280" w:lineRule="atLeast"/>
        <w:rPr>
          <w:rFonts w:cs="Arial"/>
          <w:color w:val="414042"/>
          <w:sz w:val="20"/>
          <w:szCs w:val="20"/>
        </w:rPr>
      </w:pPr>
      <w:r w:rsidRPr="00075778">
        <w:rPr>
          <w:rFonts w:cs="Arial"/>
          <w:b/>
          <w:bCs/>
          <w:color w:val="414042"/>
          <w:sz w:val="20"/>
          <w:szCs w:val="20"/>
        </w:rPr>
        <w:t>NO RESPONSE</w:t>
      </w:r>
      <w:r w:rsidR="00570582" w:rsidRPr="006B6D12">
        <w:rPr>
          <w:rFonts w:cs="Arial"/>
          <w:color w:val="414042"/>
          <w:sz w:val="20"/>
          <w:szCs w:val="20"/>
        </w:rPr>
        <w:t xml:space="preserve"> </w:t>
      </w:r>
    </w:p>
    <w:p w14:paraId="362612AF" w14:textId="77777777" w:rsidR="007B0E77" w:rsidRDefault="007B0E77" w:rsidP="007B0E77">
      <w:pPr>
        <w:pStyle w:val="BodyText"/>
        <w:spacing w:before="60" w:after="160" w:line="280" w:lineRule="atLeast"/>
        <w:rPr>
          <w:rFonts w:cs="Arial"/>
          <w:color w:val="414042"/>
          <w:sz w:val="20"/>
          <w:szCs w:val="20"/>
        </w:rPr>
      </w:pPr>
      <w:r>
        <w:rPr>
          <w:rFonts w:cs="Arial"/>
          <w:color w:val="414042"/>
          <w:sz w:val="20"/>
          <w:szCs w:val="20"/>
        </w:rPr>
        <w:t xml:space="preserve">The decision maker will consider any written representations that you make on or before the submission due </w:t>
      </w:r>
      <w:r w:rsidRPr="00927C95">
        <w:rPr>
          <w:rFonts w:cs="Arial"/>
          <w:color w:val="414042"/>
          <w:sz w:val="20"/>
          <w:szCs w:val="20"/>
        </w:rPr>
        <w:t>date</w:t>
      </w:r>
      <w:r>
        <w:rPr>
          <w:rFonts w:cs="Arial"/>
          <w:color w:val="414042"/>
          <w:sz w:val="20"/>
          <w:szCs w:val="20"/>
        </w:rPr>
        <w:t>.</w:t>
      </w:r>
    </w:p>
    <w:p w14:paraId="709CA4BA" w14:textId="08B34AED" w:rsidR="00570582" w:rsidRDefault="00F52F90" w:rsidP="00F037B2">
      <w:pPr>
        <w:pStyle w:val="BodyText"/>
        <w:spacing w:after="160" w:line="280" w:lineRule="atLeast"/>
        <w:rPr>
          <w:rFonts w:cs="Arial"/>
          <w:color w:val="414042"/>
          <w:sz w:val="20"/>
          <w:szCs w:val="20"/>
        </w:rPr>
      </w:pPr>
      <w:r w:rsidRPr="00D25A9F">
        <w:rPr>
          <w:rFonts w:cs="Arial"/>
          <w:color w:val="414042"/>
          <w:sz w:val="20"/>
          <w:szCs w:val="20"/>
        </w:rPr>
        <w:t xml:space="preserve">If </w:t>
      </w:r>
      <w:r>
        <w:rPr>
          <w:rFonts w:cs="Arial"/>
          <w:color w:val="414042"/>
          <w:sz w:val="20"/>
          <w:szCs w:val="20"/>
        </w:rPr>
        <w:t xml:space="preserve">no response is received </w:t>
      </w:r>
      <w:r w:rsidRPr="00D25A9F">
        <w:rPr>
          <w:rFonts w:cs="Arial"/>
          <w:color w:val="414042"/>
          <w:sz w:val="20"/>
          <w:szCs w:val="20"/>
        </w:rPr>
        <w:t xml:space="preserve">within </w:t>
      </w:r>
      <w:r w:rsidR="008D1FC4">
        <w:rPr>
          <w:rFonts w:cs="Arial"/>
          <w:color w:val="414042"/>
          <w:sz w:val="20"/>
          <w:szCs w:val="20"/>
        </w:rPr>
        <w:t>the allocated timeframe</w:t>
      </w:r>
      <w:r w:rsidRPr="00D25A9F">
        <w:rPr>
          <w:rFonts w:cs="Arial"/>
          <w:color w:val="414042"/>
          <w:sz w:val="20"/>
          <w:szCs w:val="20"/>
        </w:rPr>
        <w:t xml:space="preserve">, </w:t>
      </w:r>
      <w:r w:rsidR="00570582">
        <w:rPr>
          <w:rFonts w:cs="Arial"/>
          <w:color w:val="414042"/>
          <w:sz w:val="20"/>
          <w:szCs w:val="20"/>
        </w:rPr>
        <w:t xml:space="preserve">the Panel </w:t>
      </w:r>
      <w:r w:rsidR="002B2BC1">
        <w:rPr>
          <w:rFonts w:cs="Arial"/>
          <w:color w:val="414042"/>
          <w:sz w:val="20"/>
          <w:szCs w:val="20"/>
        </w:rPr>
        <w:t>will proceed to make</w:t>
      </w:r>
      <w:r w:rsidR="00570582">
        <w:rPr>
          <w:rFonts w:cs="Arial"/>
          <w:color w:val="414042"/>
          <w:sz w:val="20"/>
          <w:szCs w:val="20"/>
        </w:rPr>
        <w:t xml:space="preserve"> a recommendation </w:t>
      </w:r>
      <w:r w:rsidR="009622C9">
        <w:rPr>
          <w:rFonts w:cs="Arial"/>
          <w:color w:val="414042"/>
          <w:sz w:val="20"/>
          <w:szCs w:val="20"/>
        </w:rPr>
        <w:t>for consideration by the decision maker (the</w:t>
      </w:r>
      <w:r w:rsidR="00570582">
        <w:rPr>
          <w:rFonts w:cs="Arial"/>
          <w:color w:val="414042"/>
          <w:sz w:val="20"/>
          <w:szCs w:val="20"/>
        </w:rPr>
        <w:t xml:space="preserve"> </w:t>
      </w:r>
      <w:r w:rsidR="00387C5C">
        <w:rPr>
          <w:rFonts w:cs="Arial"/>
          <w:color w:val="414042"/>
          <w:sz w:val="20"/>
          <w:szCs w:val="20"/>
        </w:rPr>
        <w:t>Director-General</w:t>
      </w:r>
      <w:r w:rsidR="00570582">
        <w:rPr>
          <w:rFonts w:cs="Arial"/>
          <w:color w:val="414042"/>
          <w:sz w:val="20"/>
          <w:szCs w:val="20"/>
        </w:rPr>
        <w:t xml:space="preserve"> within the &lt;insert procuring agency&gt;</w:t>
      </w:r>
      <w:r w:rsidR="009D36E5">
        <w:rPr>
          <w:rFonts w:cs="Arial"/>
          <w:color w:val="414042"/>
          <w:sz w:val="20"/>
          <w:szCs w:val="20"/>
        </w:rPr>
        <w:t xml:space="preserve"> </w:t>
      </w:r>
      <w:r w:rsidR="003C0F17">
        <w:rPr>
          <w:rFonts w:cs="Arial"/>
          <w:color w:val="414042"/>
          <w:sz w:val="20"/>
          <w:szCs w:val="20"/>
        </w:rPr>
        <w:t xml:space="preserve">in </w:t>
      </w:r>
      <w:proofErr w:type="gramStart"/>
      <w:r w:rsidR="003C0F17">
        <w:rPr>
          <w:rFonts w:cs="Arial"/>
          <w:color w:val="414042"/>
          <w:sz w:val="20"/>
          <w:szCs w:val="20"/>
        </w:rPr>
        <w:t>making</w:t>
      </w:r>
      <w:r w:rsidR="009D36E5">
        <w:rPr>
          <w:rFonts w:cs="Arial"/>
          <w:color w:val="414042"/>
          <w:sz w:val="20"/>
          <w:szCs w:val="20"/>
        </w:rPr>
        <w:t xml:space="preserve"> a determination</w:t>
      </w:r>
      <w:proofErr w:type="gramEnd"/>
      <w:r w:rsidR="003C0F17">
        <w:rPr>
          <w:rFonts w:cs="Arial"/>
          <w:color w:val="414042"/>
          <w:sz w:val="20"/>
          <w:szCs w:val="20"/>
        </w:rPr>
        <w:t xml:space="preserve"> under the Mandate</w:t>
      </w:r>
      <w:r w:rsidR="00570582">
        <w:rPr>
          <w:rFonts w:cs="Arial"/>
          <w:color w:val="414042"/>
          <w:sz w:val="20"/>
          <w:szCs w:val="20"/>
        </w:rPr>
        <w:t xml:space="preserve">. </w:t>
      </w:r>
    </w:p>
    <w:p w14:paraId="75705942" w14:textId="721D2060" w:rsidR="005803AB" w:rsidRDefault="005803AB" w:rsidP="005803AB">
      <w:pPr>
        <w:pStyle w:val="BDOBodytext"/>
        <w:spacing w:before="160" w:after="60"/>
        <w:ind w:right="-45"/>
        <w:rPr>
          <w:rFonts w:ascii="Arial" w:hAnsi="Arial"/>
          <w:color w:val="414042"/>
        </w:rPr>
      </w:pPr>
      <w:r w:rsidRPr="00665DF0">
        <w:rPr>
          <w:rFonts w:ascii="Arial" w:hAnsi="Arial"/>
          <w:b/>
          <w:bCs/>
          <w:color w:val="414042"/>
        </w:rPr>
        <w:t>POSSIBLE DEMERIT APPLICATION</w:t>
      </w:r>
    </w:p>
    <w:p w14:paraId="37210A95" w14:textId="0B9A4F12" w:rsidR="00293EAF" w:rsidRDefault="00293EAF" w:rsidP="00F037B2">
      <w:pPr>
        <w:pStyle w:val="BDOBodytext"/>
        <w:ind w:right="-46"/>
        <w:rPr>
          <w:rFonts w:ascii="Arial" w:hAnsi="Arial"/>
          <w:color w:val="414042"/>
        </w:rPr>
      </w:pPr>
      <w:r w:rsidRPr="00BA03CA">
        <w:rPr>
          <w:rFonts w:ascii="Arial" w:hAnsi="Arial"/>
          <w:color w:val="414042"/>
        </w:rPr>
        <w:t xml:space="preserve">If the </w:t>
      </w:r>
      <w:r>
        <w:rPr>
          <w:rFonts w:ascii="Arial" w:hAnsi="Arial"/>
          <w:color w:val="414042"/>
        </w:rPr>
        <w:t xml:space="preserve">alleged </w:t>
      </w:r>
      <w:r w:rsidRPr="00BA03CA">
        <w:rPr>
          <w:rFonts w:ascii="Arial" w:hAnsi="Arial"/>
          <w:color w:val="414042"/>
        </w:rPr>
        <w:t xml:space="preserve">conduct outlined </w:t>
      </w:r>
      <w:r>
        <w:rPr>
          <w:rFonts w:ascii="Arial" w:hAnsi="Arial"/>
          <w:color w:val="414042"/>
        </w:rPr>
        <w:t xml:space="preserve">in this Notice </w:t>
      </w:r>
      <w:r w:rsidRPr="00BA03CA">
        <w:rPr>
          <w:rFonts w:ascii="Arial" w:hAnsi="Arial"/>
          <w:color w:val="414042"/>
        </w:rPr>
        <w:t>is found to be a breach of the &lt;Mandate/Threshold&gt; &lt;insert supplier name&gt; may be issued with demerits under the policy.</w:t>
      </w:r>
    </w:p>
    <w:p w14:paraId="233D0156" w14:textId="157D7AE1" w:rsidR="00F12A2C" w:rsidRPr="00F676E6" w:rsidRDefault="00F12A2C" w:rsidP="00F037B2">
      <w:pPr>
        <w:pStyle w:val="BDOBodytext"/>
        <w:ind w:right="-46"/>
        <w:rPr>
          <w:rFonts w:ascii="Arial" w:hAnsi="Arial"/>
          <w:color w:val="414042"/>
        </w:rPr>
      </w:pPr>
      <w:r>
        <w:rPr>
          <w:rFonts w:ascii="Arial" w:hAnsi="Arial"/>
          <w:color w:val="414042"/>
        </w:rPr>
        <w:t>D</w:t>
      </w:r>
      <w:r w:rsidRPr="00F676E6">
        <w:rPr>
          <w:rFonts w:ascii="Arial" w:hAnsi="Arial"/>
          <w:color w:val="414042"/>
        </w:rPr>
        <w:t xml:space="preserve">emerits expire </w:t>
      </w:r>
      <w:r w:rsidR="00995BDF">
        <w:rPr>
          <w:rFonts w:ascii="Arial" w:hAnsi="Arial"/>
          <w:color w:val="414042"/>
        </w:rPr>
        <w:t>twelve (</w:t>
      </w:r>
      <w:r w:rsidRPr="00F676E6">
        <w:rPr>
          <w:rFonts w:ascii="Arial" w:hAnsi="Arial"/>
          <w:color w:val="414042"/>
        </w:rPr>
        <w:t>12</w:t>
      </w:r>
      <w:r w:rsidR="00995BDF">
        <w:rPr>
          <w:rFonts w:ascii="Arial" w:hAnsi="Arial"/>
          <w:color w:val="414042"/>
        </w:rPr>
        <w:t xml:space="preserve">) </w:t>
      </w:r>
      <w:r w:rsidRPr="00F676E6">
        <w:rPr>
          <w:rFonts w:ascii="Arial" w:hAnsi="Arial"/>
          <w:color w:val="414042"/>
        </w:rPr>
        <w:t xml:space="preserve">months from the date they are </w:t>
      </w:r>
      <w:r>
        <w:rPr>
          <w:rFonts w:ascii="Arial" w:hAnsi="Arial"/>
          <w:color w:val="414042"/>
        </w:rPr>
        <w:t>issued, unless applied to a sanction. All demerits applied to a sanction determination will be retired and will not contribute to future non-compliance decisions.</w:t>
      </w:r>
    </w:p>
    <w:p w14:paraId="5F12BA17" w14:textId="6C79F1F9" w:rsidR="009C42D0" w:rsidRDefault="009C42D0" w:rsidP="009C42D0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665DF0">
        <w:rPr>
          <w:rFonts w:eastAsia="Times New Roman" w:cs="Arial"/>
          <w:b/>
          <w:bCs/>
          <w:color w:val="414042"/>
          <w:szCs w:val="20"/>
          <w:lang w:eastAsia="en-AU"/>
        </w:rPr>
        <w:t>POS</w:t>
      </w:r>
      <w:r w:rsidRPr="00665DF0">
        <w:rPr>
          <w:b/>
          <w:bCs/>
          <w:color w:val="414042"/>
        </w:rPr>
        <w:t xml:space="preserve">SIBLE </w:t>
      </w:r>
      <w:r>
        <w:rPr>
          <w:b/>
          <w:bCs/>
          <w:color w:val="414042"/>
        </w:rPr>
        <w:t>SANCTION</w:t>
      </w:r>
      <w:r w:rsidRPr="00665DF0">
        <w:rPr>
          <w:b/>
          <w:bCs/>
          <w:color w:val="414042"/>
        </w:rPr>
        <w:t xml:space="preserve"> APPLICATION</w:t>
      </w:r>
    </w:p>
    <w:p w14:paraId="0CADB1B2" w14:textId="5310B87C" w:rsidR="00B72AB2" w:rsidRDefault="00625D35" w:rsidP="008D6B84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proofErr w:type="gramStart"/>
      <w:r>
        <w:rPr>
          <w:rFonts w:eastAsia="Times New Roman" w:cs="Arial"/>
          <w:color w:val="414042"/>
          <w:szCs w:val="20"/>
          <w:lang w:eastAsia="en-AU"/>
        </w:rPr>
        <w:t>I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>n the event that</w:t>
      </w:r>
      <w:proofErr w:type="gramEnd"/>
      <w:r w:rsidR="00995BDF">
        <w:rPr>
          <w:rFonts w:eastAsia="Times New Roman" w:cs="Arial"/>
          <w:color w:val="414042"/>
          <w:szCs w:val="20"/>
          <w:lang w:eastAsia="en-AU"/>
        </w:rPr>
        <w:t xml:space="preserve"> twenty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995BDF">
        <w:rPr>
          <w:rFonts w:eastAsia="Times New Roman" w:cs="Arial"/>
          <w:color w:val="414042"/>
          <w:szCs w:val="20"/>
          <w:lang w:eastAsia="en-AU"/>
        </w:rPr>
        <w:t>(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>20</w:t>
      </w:r>
      <w:r w:rsidR="00995BDF">
        <w:rPr>
          <w:rFonts w:eastAsia="Times New Roman" w:cs="Arial"/>
          <w:color w:val="414042"/>
          <w:szCs w:val="20"/>
          <w:lang w:eastAsia="en-AU"/>
        </w:rPr>
        <w:t>)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 xml:space="preserve"> demerits are accumulated in </w:t>
      </w:r>
      <w:r w:rsidR="00570582">
        <w:rPr>
          <w:rFonts w:eastAsia="Times New Roman" w:cs="Arial"/>
          <w:color w:val="414042"/>
          <w:szCs w:val="20"/>
          <w:lang w:eastAsia="en-AU"/>
        </w:rPr>
        <w:t>the s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>a</w:t>
      </w:r>
      <w:r w:rsidR="00570582">
        <w:rPr>
          <w:rFonts w:eastAsia="Times New Roman" w:cs="Arial"/>
          <w:color w:val="414042"/>
          <w:szCs w:val="20"/>
          <w:lang w:eastAsia="en-AU"/>
        </w:rPr>
        <w:t>me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 xml:space="preserve"> 12-month period, a sanction under the </w:t>
      </w:r>
      <w:r w:rsidR="00570582">
        <w:rPr>
          <w:rFonts w:eastAsia="Times New Roman" w:cs="Arial"/>
          <w:color w:val="414042"/>
          <w:szCs w:val="20"/>
          <w:lang w:eastAsia="en-AU"/>
        </w:rPr>
        <w:t>&lt;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>Mandate</w:t>
      </w:r>
      <w:r w:rsidR="00570582">
        <w:rPr>
          <w:rFonts w:eastAsia="Times New Roman" w:cs="Arial"/>
          <w:color w:val="414042"/>
          <w:szCs w:val="20"/>
          <w:lang w:eastAsia="en-AU"/>
        </w:rPr>
        <w:t>/Threshold&gt; will be considered</w:t>
      </w:r>
      <w:r w:rsidR="00570582" w:rsidRPr="005826BC">
        <w:rPr>
          <w:rFonts w:eastAsia="Times New Roman" w:cs="Arial"/>
          <w:color w:val="414042"/>
          <w:szCs w:val="20"/>
          <w:lang w:eastAsia="en-AU"/>
        </w:rPr>
        <w:t>.</w:t>
      </w:r>
      <w:r w:rsidR="00570582">
        <w:rPr>
          <w:rFonts w:eastAsia="Times New Roman" w:cs="Arial"/>
          <w:color w:val="414042"/>
          <w:szCs w:val="20"/>
          <w:lang w:eastAsia="en-AU"/>
        </w:rPr>
        <w:t xml:space="preserve"> </w:t>
      </w:r>
    </w:p>
    <w:p w14:paraId="4F3E413F" w14:textId="3E93760C" w:rsidR="00F715E0" w:rsidRPr="0009431A" w:rsidRDefault="00F715E0" w:rsidP="00891968">
      <w:pPr>
        <w:spacing w:after="6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09431A">
        <w:rPr>
          <w:rFonts w:eastAsia="Times New Roman" w:cs="Arial"/>
          <w:color w:val="414042"/>
          <w:szCs w:val="20"/>
          <w:lang w:eastAsia="en-AU"/>
        </w:rPr>
        <w:t xml:space="preserve">Sanctions are determined by the decision maker and include: </w:t>
      </w:r>
    </w:p>
    <w:p w14:paraId="69FD731D" w14:textId="01080E1C" w:rsidR="00891968" w:rsidRDefault="00F715E0" w:rsidP="00F715E0">
      <w:pPr>
        <w:pStyle w:val="ListParagraph"/>
        <w:numPr>
          <w:ilvl w:val="0"/>
          <w:numId w:val="18"/>
        </w:num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3B4B44">
        <w:rPr>
          <w:rFonts w:eastAsia="Times New Roman" w:cs="Arial"/>
          <w:color w:val="414042"/>
          <w:szCs w:val="20"/>
          <w:lang w:eastAsia="en-AU"/>
        </w:rPr>
        <w:t>suspending a supplier’s prequalification for a defined period up to 12 months</w:t>
      </w:r>
      <w:r w:rsidR="00622F4E">
        <w:rPr>
          <w:rFonts w:eastAsia="Times New Roman" w:cs="Arial"/>
          <w:color w:val="414042"/>
          <w:szCs w:val="20"/>
          <w:lang w:eastAsia="en-AU"/>
        </w:rPr>
        <w:t>; and</w:t>
      </w:r>
      <w:r w:rsidRPr="003B4B44">
        <w:rPr>
          <w:rFonts w:eastAsia="Times New Roman" w:cs="Arial"/>
          <w:color w:val="414042"/>
          <w:szCs w:val="20"/>
          <w:lang w:eastAsia="en-AU"/>
        </w:rPr>
        <w:t xml:space="preserve"> </w:t>
      </w:r>
    </w:p>
    <w:p w14:paraId="19DB1208" w14:textId="4DAB39C4" w:rsidR="00891968" w:rsidRDefault="00F715E0" w:rsidP="00F715E0">
      <w:pPr>
        <w:pStyle w:val="ListParagraph"/>
        <w:numPr>
          <w:ilvl w:val="0"/>
          <w:numId w:val="18"/>
        </w:num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891968">
        <w:rPr>
          <w:rFonts w:eastAsia="Times New Roman" w:cs="Arial"/>
          <w:color w:val="414042"/>
          <w:szCs w:val="20"/>
          <w:lang w:eastAsia="en-AU"/>
        </w:rPr>
        <w:t>making a supplier ineligible for contract award for a defined period up to 12 months</w:t>
      </w:r>
      <w:r w:rsidR="00F55B49">
        <w:rPr>
          <w:rFonts w:eastAsia="Times New Roman" w:cs="Arial"/>
          <w:color w:val="414042"/>
          <w:szCs w:val="20"/>
          <w:lang w:eastAsia="en-AU"/>
        </w:rPr>
        <w:t>; and</w:t>
      </w:r>
      <w:r w:rsidRPr="00891968">
        <w:rPr>
          <w:rFonts w:eastAsia="Times New Roman" w:cs="Arial"/>
          <w:color w:val="414042"/>
          <w:szCs w:val="20"/>
          <w:lang w:eastAsia="en-AU"/>
        </w:rPr>
        <w:t xml:space="preserve"> </w:t>
      </w:r>
    </w:p>
    <w:p w14:paraId="5FD05640" w14:textId="1CBE6AB4" w:rsidR="00891968" w:rsidRDefault="00F715E0" w:rsidP="00F715E0">
      <w:pPr>
        <w:pStyle w:val="ListParagraph"/>
        <w:numPr>
          <w:ilvl w:val="0"/>
          <w:numId w:val="18"/>
        </w:num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891968">
        <w:rPr>
          <w:rFonts w:eastAsia="Times New Roman" w:cs="Arial"/>
          <w:color w:val="414042"/>
          <w:szCs w:val="20"/>
          <w:lang w:eastAsia="en-AU"/>
        </w:rPr>
        <w:t>suspending a supplier from any Queensland Government panel or contracting framework for a defined period</w:t>
      </w:r>
      <w:r w:rsidR="00C04008">
        <w:rPr>
          <w:rFonts w:eastAsia="Times New Roman" w:cs="Arial"/>
          <w:color w:val="414042"/>
          <w:szCs w:val="20"/>
          <w:lang w:eastAsia="en-AU"/>
        </w:rPr>
        <w:t>; and/or</w:t>
      </w:r>
      <w:r w:rsidRPr="00891968">
        <w:rPr>
          <w:rFonts w:eastAsia="Times New Roman" w:cs="Arial"/>
          <w:color w:val="414042"/>
          <w:szCs w:val="20"/>
          <w:lang w:eastAsia="en-AU"/>
        </w:rPr>
        <w:t xml:space="preserve"> </w:t>
      </w:r>
    </w:p>
    <w:p w14:paraId="35987141" w14:textId="321053A3" w:rsidR="00891968" w:rsidRDefault="00F715E0" w:rsidP="00F715E0">
      <w:pPr>
        <w:pStyle w:val="ListParagraph"/>
        <w:numPr>
          <w:ilvl w:val="0"/>
          <w:numId w:val="18"/>
        </w:num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891968">
        <w:rPr>
          <w:rFonts w:eastAsia="Times New Roman" w:cs="Arial"/>
          <w:color w:val="414042"/>
          <w:szCs w:val="20"/>
          <w:lang w:eastAsia="en-AU"/>
        </w:rPr>
        <w:lastRenderedPageBreak/>
        <w:t>precluding a supplier’s existing contract from being extended</w:t>
      </w:r>
      <w:r w:rsidR="00745BD9">
        <w:rPr>
          <w:rFonts w:eastAsia="Times New Roman" w:cs="Arial"/>
          <w:color w:val="414042"/>
          <w:szCs w:val="20"/>
          <w:lang w:eastAsia="en-AU"/>
        </w:rPr>
        <w:t>;</w:t>
      </w:r>
      <w:r w:rsidRPr="00891968">
        <w:rPr>
          <w:rFonts w:eastAsia="Times New Roman" w:cs="Arial"/>
          <w:color w:val="414042"/>
          <w:szCs w:val="20"/>
          <w:lang w:eastAsia="en-AU"/>
        </w:rPr>
        <w:t xml:space="preserve"> or</w:t>
      </w:r>
    </w:p>
    <w:p w14:paraId="44FE33A2" w14:textId="74C7F1E9" w:rsidR="00F715E0" w:rsidRPr="00891968" w:rsidRDefault="00F715E0" w:rsidP="00891968">
      <w:pPr>
        <w:pStyle w:val="ListParagraph"/>
        <w:numPr>
          <w:ilvl w:val="0"/>
          <w:numId w:val="18"/>
        </w:numPr>
        <w:spacing w:after="120" w:line="280" w:lineRule="atLeast"/>
        <w:ind w:left="714" w:hanging="357"/>
        <w:rPr>
          <w:rFonts w:eastAsia="Times New Roman" w:cs="Arial"/>
          <w:color w:val="414042"/>
          <w:szCs w:val="20"/>
          <w:lang w:eastAsia="en-AU"/>
        </w:rPr>
      </w:pPr>
      <w:r w:rsidRPr="00891968">
        <w:rPr>
          <w:rFonts w:eastAsia="Times New Roman" w:cs="Arial"/>
          <w:color w:val="414042"/>
          <w:szCs w:val="20"/>
          <w:lang w:eastAsia="en-AU"/>
        </w:rPr>
        <w:t>a suspended sanctions penalty, pending successful implementation of any recommended corrective actions.</w:t>
      </w:r>
    </w:p>
    <w:p w14:paraId="00F84366" w14:textId="553FC8E1" w:rsidR="00F715E0" w:rsidRDefault="00F715E0" w:rsidP="008D6B84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If the decision maker </w:t>
      </w:r>
      <w:bookmarkStart w:id="0" w:name="_Hlk78450441"/>
      <w:r>
        <w:rPr>
          <w:rFonts w:eastAsia="Times New Roman" w:cs="Arial"/>
          <w:color w:val="414042"/>
          <w:szCs w:val="20"/>
          <w:lang w:eastAsia="en-AU"/>
        </w:rPr>
        <w:t xml:space="preserve">proposes to impose a sanction on </w:t>
      </w:r>
      <w:r w:rsidRPr="00AE5157">
        <w:rPr>
          <w:rFonts w:eastAsia="Times New Roman" w:cs="Arial"/>
          <w:color w:val="414042"/>
          <w:szCs w:val="20"/>
          <w:lang w:eastAsia="en-AU"/>
        </w:rPr>
        <w:t>&lt;</w:t>
      </w:r>
      <w:r w:rsidR="00FC56A6">
        <w:rPr>
          <w:rFonts w:eastAsia="Times New Roman" w:cs="Arial"/>
          <w:color w:val="414042"/>
          <w:szCs w:val="20"/>
          <w:lang w:eastAsia="en-AU"/>
        </w:rPr>
        <w:t xml:space="preserve">insert </w:t>
      </w:r>
      <w:r w:rsidRPr="00AE5157">
        <w:rPr>
          <w:rFonts w:eastAsia="Times New Roman" w:cs="Arial"/>
          <w:color w:val="414042"/>
          <w:szCs w:val="20"/>
          <w:lang w:eastAsia="en-AU"/>
        </w:rPr>
        <w:t>supplier name&gt;</w:t>
      </w:r>
      <w:r>
        <w:rPr>
          <w:rFonts w:eastAsia="Times New Roman" w:cs="Arial"/>
          <w:color w:val="414042"/>
          <w:szCs w:val="20"/>
          <w:lang w:eastAsia="en-AU"/>
        </w:rPr>
        <w:t>, you will be given an opportunity to make written submissions about the proposed sanction.</w:t>
      </w:r>
      <w:bookmarkEnd w:id="0"/>
    </w:p>
    <w:p w14:paraId="4332F9FB" w14:textId="64B6FBE6" w:rsidR="001A6D82" w:rsidRDefault="001A6D82" w:rsidP="001A6D82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0B60E6">
        <w:rPr>
          <w:rFonts w:cs="Arial"/>
          <w:b/>
          <w:bCs/>
        </w:rPr>
        <w:t>COMPLIANCE RECORD UNDER THE POLICY</w:t>
      </w:r>
    </w:p>
    <w:p w14:paraId="71AAB8AA" w14:textId="5F2901B2" w:rsidR="00570582" w:rsidRPr="005826BC" w:rsidRDefault="00570582" w:rsidP="00F037B2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>All confirmed breaches of the &lt;Mandate/Threshold&gt; (or Ethical Supplier Threshold/Mandate) will be collated to form your compliance record under these policies. Procuring agencies will have access to this record when assessing the risk profile of future procurement.</w:t>
      </w:r>
    </w:p>
    <w:p w14:paraId="3D7B3929" w14:textId="4DC907B1" w:rsidR="00570582" w:rsidRPr="006B70A8" w:rsidRDefault="00570582" w:rsidP="00F037B2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 xml:space="preserve">The </w:t>
      </w:r>
      <w:r w:rsidR="003606A4">
        <w:rPr>
          <w:rFonts w:eastAsia="Times New Roman" w:cs="Arial"/>
          <w:color w:val="414042"/>
          <w:szCs w:val="20"/>
          <w:lang w:eastAsia="en-AU"/>
        </w:rPr>
        <w:t>Queensland Government</w:t>
      </w:r>
      <w:r w:rsidRPr="006B70A8">
        <w:rPr>
          <w:rFonts w:eastAsia="Times New Roman" w:cs="Arial"/>
          <w:color w:val="414042"/>
          <w:szCs w:val="20"/>
          <w:lang w:eastAsia="en-AU"/>
        </w:rPr>
        <w:t xml:space="preserve"> takes all matters of compliance seriously. </w:t>
      </w:r>
      <w:r w:rsidR="0048794A" w:rsidRPr="00911BA6">
        <w:rPr>
          <w:rFonts w:eastAsia="Times New Roman" w:cs="Arial"/>
          <w:color w:val="414042"/>
          <w:szCs w:val="20"/>
          <w:lang w:eastAsia="en-AU"/>
        </w:rPr>
        <w:t xml:space="preserve">The </w:t>
      </w:r>
      <w:r w:rsidR="0048794A">
        <w:rPr>
          <w:rFonts w:eastAsia="Times New Roman" w:cs="Arial"/>
          <w:color w:val="414042"/>
          <w:szCs w:val="20"/>
          <w:lang w:eastAsia="en-AU"/>
        </w:rPr>
        <w:t>&lt;</w:t>
      </w:r>
      <w:r w:rsidR="0048794A" w:rsidRPr="00911BA6">
        <w:rPr>
          <w:rFonts w:eastAsia="Times New Roman" w:cs="Arial"/>
          <w:color w:val="414042"/>
          <w:szCs w:val="20"/>
          <w:lang w:eastAsia="en-AU"/>
        </w:rPr>
        <w:t>Mandate</w:t>
      </w:r>
      <w:r w:rsidR="0048794A">
        <w:rPr>
          <w:rFonts w:eastAsia="Times New Roman" w:cs="Arial"/>
          <w:color w:val="414042"/>
          <w:szCs w:val="20"/>
          <w:lang w:eastAsia="en-AU"/>
        </w:rPr>
        <w:t>/Threshold&gt;</w:t>
      </w:r>
      <w:r w:rsidR="0048794A" w:rsidRPr="00911BA6">
        <w:rPr>
          <w:rFonts w:eastAsia="Times New Roman" w:cs="Arial"/>
          <w:color w:val="414042"/>
          <w:szCs w:val="20"/>
          <w:lang w:eastAsia="en-AU"/>
        </w:rPr>
        <w:t xml:space="preserve"> will impact suppliers that negligently, deliberately and/or repeatedly breach contractual obligations, </w:t>
      </w:r>
      <w:proofErr w:type="gramStart"/>
      <w:r w:rsidR="0048794A" w:rsidRPr="00911BA6">
        <w:rPr>
          <w:rFonts w:eastAsia="Times New Roman" w:cs="Arial"/>
          <w:color w:val="414042"/>
          <w:szCs w:val="20"/>
          <w:lang w:eastAsia="en-AU"/>
        </w:rPr>
        <w:t>policies</w:t>
      </w:r>
      <w:proofErr w:type="gramEnd"/>
      <w:r w:rsidR="0048794A" w:rsidRPr="00911BA6">
        <w:rPr>
          <w:rFonts w:eastAsia="Times New Roman" w:cs="Arial"/>
          <w:color w:val="414042"/>
          <w:szCs w:val="20"/>
          <w:lang w:eastAsia="en-AU"/>
        </w:rPr>
        <w:t xml:space="preserve"> or laws. It is not intended to penalise honest mistakes or oversights that are found and corrected. Non-compliance with the </w:t>
      </w:r>
      <w:r w:rsidR="0048794A">
        <w:rPr>
          <w:rFonts w:eastAsia="Times New Roman" w:cs="Arial"/>
          <w:color w:val="414042"/>
          <w:szCs w:val="20"/>
          <w:lang w:eastAsia="en-AU"/>
        </w:rPr>
        <w:t>&lt;</w:t>
      </w:r>
      <w:r w:rsidR="0048794A" w:rsidRPr="00911BA6">
        <w:rPr>
          <w:rFonts w:eastAsia="Times New Roman" w:cs="Arial"/>
          <w:color w:val="414042"/>
          <w:szCs w:val="20"/>
          <w:lang w:eastAsia="en-AU"/>
        </w:rPr>
        <w:t>Mandate</w:t>
      </w:r>
      <w:r w:rsidR="0048794A">
        <w:rPr>
          <w:rFonts w:eastAsia="Times New Roman" w:cs="Arial"/>
          <w:color w:val="414042"/>
          <w:szCs w:val="20"/>
          <w:lang w:eastAsia="en-AU"/>
        </w:rPr>
        <w:t>/Threshold&gt;</w:t>
      </w:r>
      <w:r w:rsidR="0048794A" w:rsidRPr="00911BA6">
        <w:rPr>
          <w:rFonts w:eastAsia="Times New Roman" w:cs="Arial"/>
          <w:color w:val="414042"/>
          <w:szCs w:val="20"/>
          <w:lang w:eastAsia="en-AU"/>
        </w:rPr>
        <w:t xml:space="preserve"> is assessed on a case-by-case basis by the Panel and the decision maker</w:t>
      </w:r>
      <w:r w:rsidR="0048794A">
        <w:rPr>
          <w:rFonts w:eastAsia="Times New Roman" w:cs="Arial"/>
          <w:color w:val="414042"/>
          <w:szCs w:val="20"/>
          <w:lang w:eastAsia="en-AU"/>
        </w:rPr>
        <w:t xml:space="preserve"> (</w:t>
      </w:r>
      <w:r w:rsidR="0048794A" w:rsidRPr="00854B31">
        <w:rPr>
          <w:rFonts w:eastAsia="Times New Roman" w:cs="Arial"/>
          <w:color w:val="414042"/>
          <w:szCs w:val="20"/>
          <w:lang w:eastAsia="en-AU"/>
        </w:rPr>
        <w:t>the Director-General within the &lt;insert procuring agency&gt;</w:t>
      </w:r>
      <w:r w:rsidR="0048794A">
        <w:rPr>
          <w:rFonts w:eastAsia="Times New Roman" w:cs="Arial"/>
          <w:color w:val="414042"/>
          <w:szCs w:val="20"/>
          <w:lang w:eastAsia="en-AU"/>
        </w:rPr>
        <w:t>)</w:t>
      </w:r>
      <w:r w:rsidR="0048794A" w:rsidRPr="00911BA6">
        <w:rPr>
          <w:rFonts w:eastAsia="Times New Roman" w:cs="Arial"/>
          <w:color w:val="414042"/>
          <w:szCs w:val="20"/>
          <w:lang w:eastAsia="en-AU"/>
        </w:rPr>
        <w:t>, allowing for discretionary assessment (</w:t>
      </w:r>
      <w:r w:rsidR="00484C9F" w:rsidRPr="00911BA6">
        <w:rPr>
          <w:rFonts w:eastAsia="Times New Roman" w:cs="Arial"/>
          <w:color w:val="414042"/>
          <w:szCs w:val="20"/>
          <w:lang w:eastAsia="en-AU"/>
        </w:rPr>
        <w:t>e.g.,</w:t>
      </w:r>
      <w:r w:rsidR="0048794A" w:rsidRPr="00911BA6">
        <w:rPr>
          <w:rFonts w:eastAsia="Times New Roman" w:cs="Arial"/>
          <w:color w:val="414042"/>
          <w:szCs w:val="20"/>
          <w:lang w:eastAsia="en-AU"/>
        </w:rPr>
        <w:t xml:space="preserve"> evidence of honest error, systems and/or process improvement, and reparation).</w:t>
      </w:r>
    </w:p>
    <w:p w14:paraId="40527FD7" w14:textId="5C2FA54B" w:rsidR="005E4FE6" w:rsidRDefault="00570582" w:rsidP="00F037B2">
      <w:pPr>
        <w:autoSpaceDE w:val="0"/>
        <w:autoSpaceDN w:val="0"/>
        <w:adjustRightInd w:val="0"/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 xml:space="preserve">If you have any questions regarding this </w:t>
      </w:r>
      <w:r w:rsidR="00F70550">
        <w:rPr>
          <w:rFonts w:eastAsia="Times New Roman" w:cs="Arial"/>
          <w:color w:val="414042"/>
          <w:szCs w:val="20"/>
          <w:lang w:eastAsia="en-AU"/>
        </w:rPr>
        <w:t>N</w:t>
      </w:r>
      <w:r>
        <w:rPr>
          <w:rFonts w:eastAsia="Times New Roman" w:cs="Arial"/>
          <w:color w:val="414042"/>
          <w:szCs w:val="20"/>
          <w:lang w:eastAsia="en-AU"/>
        </w:rPr>
        <w:t>otice</w:t>
      </w:r>
      <w:r w:rsidRPr="006B70A8">
        <w:rPr>
          <w:rFonts w:eastAsia="Times New Roman" w:cs="Arial"/>
          <w:color w:val="414042"/>
          <w:szCs w:val="20"/>
          <w:lang w:eastAsia="en-AU"/>
        </w:rPr>
        <w:t xml:space="preserve">, please contact me at </w:t>
      </w:r>
      <w:hyperlink r:id="rId12" w:history="1">
        <w:r w:rsidR="008D6B84" w:rsidRPr="00B37295">
          <w:rPr>
            <w:rStyle w:val="Hyperlink"/>
            <w:rFonts w:eastAsia="Times New Roman" w:cs="Arial"/>
            <w:szCs w:val="20"/>
            <w:lang w:eastAsia="en-AU"/>
          </w:rPr>
          <w:t>ethicalsupply@epw.qld.gov.au</w:t>
        </w:r>
      </w:hyperlink>
    </w:p>
    <w:p w14:paraId="06A99B37" w14:textId="77777777" w:rsidR="00570582" w:rsidRDefault="00570582" w:rsidP="00F037B2">
      <w:pPr>
        <w:spacing w:before="24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>Yours sincerely,</w:t>
      </w:r>
    </w:p>
    <w:p w14:paraId="33B4524A" w14:textId="77777777" w:rsidR="00570582" w:rsidRDefault="00570582" w:rsidP="00570582">
      <w:pPr>
        <w:spacing w:line="259" w:lineRule="auto"/>
        <w:rPr>
          <w:rFonts w:eastAsia="Times New Roman" w:cs="Arial"/>
          <w:color w:val="414042"/>
          <w:szCs w:val="20"/>
          <w:lang w:eastAsia="en-AU"/>
        </w:rPr>
      </w:pPr>
    </w:p>
    <w:p w14:paraId="67B2FBB6" w14:textId="7DAE5D93" w:rsidR="00803E69" w:rsidRDefault="00803E69" w:rsidP="00803E69">
      <w:pPr>
        <w:spacing w:after="40" w:line="259" w:lineRule="auto"/>
        <w:rPr>
          <w:rFonts w:eastAsia="Times New Roman" w:cs="Arial"/>
          <w:color w:val="414042"/>
          <w:szCs w:val="20"/>
          <w:lang w:eastAsia="en-AU"/>
        </w:rPr>
      </w:pPr>
    </w:p>
    <w:p w14:paraId="5B544AD8" w14:textId="22B8BCC8" w:rsidR="002373BA" w:rsidRDefault="002373BA" w:rsidP="002373BA">
      <w:pPr>
        <w:spacing w:before="240" w:line="280" w:lineRule="atLeast"/>
        <w:jc w:val="both"/>
        <w:rPr>
          <w:rFonts w:eastAsia="Times New Roman" w:cs="Arial"/>
          <w:color w:val="414042"/>
          <w:szCs w:val="20"/>
          <w:lang w:eastAsia="en-AU"/>
        </w:rPr>
      </w:pPr>
    </w:p>
    <w:sectPr w:rsidR="002373BA" w:rsidSect="006B70A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73" w:bottom="851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7EB7" w14:textId="77777777" w:rsidR="00C93E69" w:rsidRDefault="00C93E69" w:rsidP="00F752DB">
      <w:pPr>
        <w:spacing w:after="0" w:line="240" w:lineRule="auto"/>
      </w:pPr>
      <w:r>
        <w:separator/>
      </w:r>
    </w:p>
  </w:endnote>
  <w:endnote w:type="continuationSeparator" w:id="0">
    <w:p w14:paraId="286667C7" w14:textId="77777777" w:rsidR="00C93E69" w:rsidRDefault="00C93E69" w:rsidP="00F752DB">
      <w:pPr>
        <w:spacing w:after="0" w:line="240" w:lineRule="auto"/>
      </w:pPr>
      <w:r>
        <w:continuationSeparator/>
      </w:r>
    </w:p>
  </w:endnote>
  <w:endnote w:type="continuationNotice" w:id="1">
    <w:p w14:paraId="76813A12" w14:textId="77777777" w:rsidR="00C93E69" w:rsidRDefault="00C93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177B3168" w:rsidR="005826BC" w:rsidRPr="00381F07" w:rsidRDefault="005826BC" w:rsidP="007504EB">
    <w:pPr>
      <w:pStyle w:val="Footer"/>
      <w:pBdr>
        <w:top w:val="single" w:sz="4" w:space="8" w:color="A70240"/>
      </w:pBdr>
      <w:tabs>
        <w:tab w:val="clear" w:pos="9026"/>
        <w:tab w:val="right" w:pos="10065"/>
      </w:tabs>
      <w:spacing w:before="12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Queensland Government Procurement Compliance Branch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55E13D04" w14:textId="77777777" w:rsidR="00C2253D" w:rsidRDefault="00C2253D"/>
  <w:p w14:paraId="2471C163" w14:textId="77777777" w:rsidR="00C2253D" w:rsidRDefault="00C225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10958692" w:rsidR="005826BC" w:rsidRDefault="005826BC" w:rsidP="000140F8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5815E" wp14:editId="53585373">
          <wp:simplePos x="0" y="0"/>
          <wp:positionH relativeFrom="column">
            <wp:posOffset>3738245</wp:posOffset>
          </wp:positionH>
          <wp:positionV relativeFrom="paragraph">
            <wp:posOffset>-824865</wp:posOffset>
          </wp:positionV>
          <wp:extent cx="2295525" cy="749300"/>
          <wp:effectExtent l="0" t="0" r="9525" b="0"/>
          <wp:wrapNone/>
          <wp:docPr id="25" name="Picture 25" descr="Queensland Government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96A9" w14:textId="77777777" w:rsidR="00C93E69" w:rsidRDefault="00C93E69" w:rsidP="00F752DB">
      <w:pPr>
        <w:spacing w:after="0" w:line="240" w:lineRule="auto"/>
      </w:pPr>
      <w:r>
        <w:separator/>
      </w:r>
    </w:p>
  </w:footnote>
  <w:footnote w:type="continuationSeparator" w:id="0">
    <w:p w14:paraId="12EDA1A1" w14:textId="77777777" w:rsidR="00C93E69" w:rsidRDefault="00C93E69" w:rsidP="00F752DB">
      <w:pPr>
        <w:spacing w:after="0" w:line="240" w:lineRule="auto"/>
      </w:pPr>
      <w:r>
        <w:continuationSeparator/>
      </w:r>
    </w:p>
  </w:footnote>
  <w:footnote w:type="continuationNotice" w:id="1">
    <w:p w14:paraId="5AAE0164" w14:textId="77777777" w:rsidR="00C93E69" w:rsidRDefault="00C93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1B23" w14:textId="581A7ADD" w:rsidR="00C2253D" w:rsidRPr="00443D53" w:rsidRDefault="005913B2" w:rsidP="00443D53">
    <w:pPr>
      <w:pStyle w:val="Header"/>
      <w:pBdr>
        <w:bottom w:val="single" w:sz="4" w:space="8" w:color="A70240"/>
      </w:pBdr>
      <w:spacing w:after="24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1568223084"/>
        <w:placeholder>
          <w:docPart w:val="D5BDEBBEC39346DC9D930D24F33D7B7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4732">
          <w:rPr>
            <w:color w:val="404040" w:themeColor="text1" w:themeTint="BF"/>
            <w:sz w:val="16"/>
            <w:szCs w:val="16"/>
          </w:rPr>
          <w:t>Extenuating Circumstances</w:t>
        </w:r>
        <w:r w:rsidR="005826BC" w:rsidRPr="00D72ACE">
          <w:rPr>
            <w:color w:val="404040" w:themeColor="text1" w:themeTint="BF"/>
            <w:sz w:val="16"/>
            <w:szCs w:val="16"/>
          </w:rPr>
          <w:t xml:space="preserve"> Notice</w:t>
        </w:r>
        <w:r w:rsidR="00356F1F">
          <w:rPr>
            <w:color w:val="404040" w:themeColor="text1" w:themeTint="BF"/>
            <w:sz w:val="16"/>
            <w:szCs w:val="16"/>
          </w:rPr>
          <w:t xml:space="preserve"> – Ethical Supplier Mandate and Threshold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DD77" w14:textId="5395E4B0" w:rsidR="005826BC" w:rsidRDefault="005826B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9E61577" wp14:editId="083C6ADF">
          <wp:simplePos x="0" y="0"/>
          <wp:positionH relativeFrom="column">
            <wp:posOffset>-414337</wp:posOffset>
          </wp:positionH>
          <wp:positionV relativeFrom="paragraph">
            <wp:posOffset>-264160</wp:posOffset>
          </wp:positionV>
          <wp:extent cx="561975" cy="10342416"/>
          <wp:effectExtent l="0" t="0" r="0" b="1905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034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8B0"/>
    <w:multiLevelType w:val="hybridMultilevel"/>
    <w:tmpl w:val="877C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E72"/>
    <w:multiLevelType w:val="hybridMultilevel"/>
    <w:tmpl w:val="0CA80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4D63"/>
    <w:multiLevelType w:val="hybridMultilevel"/>
    <w:tmpl w:val="3BB4E76A"/>
    <w:lvl w:ilvl="0" w:tplc="4502AB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89C4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E1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0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4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27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0E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6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A0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30CF9"/>
    <w:multiLevelType w:val="hybridMultilevel"/>
    <w:tmpl w:val="B0066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73484E"/>
    <w:multiLevelType w:val="hybridMultilevel"/>
    <w:tmpl w:val="4F96A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8849F1"/>
    <w:multiLevelType w:val="hybridMultilevel"/>
    <w:tmpl w:val="EEC463B8"/>
    <w:lvl w:ilvl="0" w:tplc="6E507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C6E47"/>
    <w:multiLevelType w:val="hybridMultilevel"/>
    <w:tmpl w:val="C21C5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F7F63"/>
    <w:multiLevelType w:val="multilevel"/>
    <w:tmpl w:val="875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31199"/>
    <w:multiLevelType w:val="hybridMultilevel"/>
    <w:tmpl w:val="C2048DB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7B5A03DE"/>
    <w:multiLevelType w:val="hybridMultilevel"/>
    <w:tmpl w:val="F0324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5"/>
  </w:num>
  <w:num w:numId="12">
    <w:abstractNumId w:val="2"/>
  </w:num>
  <w:num w:numId="13">
    <w:abstractNumId w:val="16"/>
  </w:num>
  <w:num w:numId="14">
    <w:abstractNumId w:val="10"/>
  </w:num>
  <w:num w:numId="15">
    <w:abstractNumId w:val="12"/>
  </w:num>
  <w:num w:numId="16">
    <w:abstractNumId w:val="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04BFE"/>
    <w:rsid w:val="00005289"/>
    <w:rsid w:val="00006741"/>
    <w:rsid w:val="0001115A"/>
    <w:rsid w:val="00012277"/>
    <w:rsid w:val="000140F8"/>
    <w:rsid w:val="00017436"/>
    <w:rsid w:val="00017DB8"/>
    <w:rsid w:val="00027AF6"/>
    <w:rsid w:val="00032F73"/>
    <w:rsid w:val="00033E50"/>
    <w:rsid w:val="00036636"/>
    <w:rsid w:val="000435F9"/>
    <w:rsid w:val="00050223"/>
    <w:rsid w:val="00052385"/>
    <w:rsid w:val="00054594"/>
    <w:rsid w:val="00064CE3"/>
    <w:rsid w:val="00065D09"/>
    <w:rsid w:val="00071234"/>
    <w:rsid w:val="00080B95"/>
    <w:rsid w:val="00093A2D"/>
    <w:rsid w:val="000A0788"/>
    <w:rsid w:val="000A184C"/>
    <w:rsid w:val="000A294B"/>
    <w:rsid w:val="000B1757"/>
    <w:rsid w:val="000B2DB2"/>
    <w:rsid w:val="000B58AD"/>
    <w:rsid w:val="000C09BF"/>
    <w:rsid w:val="000C5B4B"/>
    <w:rsid w:val="000D11AA"/>
    <w:rsid w:val="000F4BE1"/>
    <w:rsid w:val="000F5F5A"/>
    <w:rsid w:val="00100AF4"/>
    <w:rsid w:val="001014E4"/>
    <w:rsid w:val="00105955"/>
    <w:rsid w:val="00105D9D"/>
    <w:rsid w:val="001073B1"/>
    <w:rsid w:val="0011158D"/>
    <w:rsid w:val="00113AB6"/>
    <w:rsid w:val="00116C69"/>
    <w:rsid w:val="00135E89"/>
    <w:rsid w:val="00137B05"/>
    <w:rsid w:val="00142FC9"/>
    <w:rsid w:val="001547A6"/>
    <w:rsid w:val="00154F28"/>
    <w:rsid w:val="0016651E"/>
    <w:rsid w:val="0017259B"/>
    <w:rsid w:val="00172C66"/>
    <w:rsid w:val="00173F49"/>
    <w:rsid w:val="00185C3E"/>
    <w:rsid w:val="0019196B"/>
    <w:rsid w:val="00191B1C"/>
    <w:rsid w:val="00196187"/>
    <w:rsid w:val="001A36BA"/>
    <w:rsid w:val="001A4A1C"/>
    <w:rsid w:val="001A6D82"/>
    <w:rsid w:val="001B5456"/>
    <w:rsid w:val="001B5958"/>
    <w:rsid w:val="001D0426"/>
    <w:rsid w:val="001D41D6"/>
    <w:rsid w:val="001D583A"/>
    <w:rsid w:val="001E2708"/>
    <w:rsid w:val="001E6C60"/>
    <w:rsid w:val="001E7E00"/>
    <w:rsid w:val="001F7C23"/>
    <w:rsid w:val="0020190D"/>
    <w:rsid w:val="0021152C"/>
    <w:rsid w:val="00211A7F"/>
    <w:rsid w:val="0021387B"/>
    <w:rsid w:val="00230440"/>
    <w:rsid w:val="0023059D"/>
    <w:rsid w:val="0023125F"/>
    <w:rsid w:val="002351D5"/>
    <w:rsid w:val="002353B6"/>
    <w:rsid w:val="002373BA"/>
    <w:rsid w:val="00245311"/>
    <w:rsid w:val="00250E0A"/>
    <w:rsid w:val="00261CAE"/>
    <w:rsid w:val="00262836"/>
    <w:rsid w:val="00262BBF"/>
    <w:rsid w:val="00264C7D"/>
    <w:rsid w:val="00265BD9"/>
    <w:rsid w:val="00267504"/>
    <w:rsid w:val="00272FD9"/>
    <w:rsid w:val="00273C6E"/>
    <w:rsid w:val="00274CF1"/>
    <w:rsid w:val="00277545"/>
    <w:rsid w:val="002810FB"/>
    <w:rsid w:val="0028613A"/>
    <w:rsid w:val="00293EAF"/>
    <w:rsid w:val="002946A5"/>
    <w:rsid w:val="002A34C3"/>
    <w:rsid w:val="002A4122"/>
    <w:rsid w:val="002A5361"/>
    <w:rsid w:val="002A7682"/>
    <w:rsid w:val="002B2BC1"/>
    <w:rsid w:val="002C27F4"/>
    <w:rsid w:val="002C4732"/>
    <w:rsid w:val="002D1FC7"/>
    <w:rsid w:val="002D650D"/>
    <w:rsid w:val="002E3035"/>
    <w:rsid w:val="002E4CDA"/>
    <w:rsid w:val="00300341"/>
    <w:rsid w:val="003079E7"/>
    <w:rsid w:val="00312A19"/>
    <w:rsid w:val="0032065D"/>
    <w:rsid w:val="00340FAE"/>
    <w:rsid w:val="00341A39"/>
    <w:rsid w:val="00341C01"/>
    <w:rsid w:val="00342ABB"/>
    <w:rsid w:val="00343472"/>
    <w:rsid w:val="003438FF"/>
    <w:rsid w:val="00347816"/>
    <w:rsid w:val="003557C3"/>
    <w:rsid w:val="00356F1F"/>
    <w:rsid w:val="003606A4"/>
    <w:rsid w:val="00367563"/>
    <w:rsid w:val="00371D37"/>
    <w:rsid w:val="0037294E"/>
    <w:rsid w:val="00381F07"/>
    <w:rsid w:val="00382E21"/>
    <w:rsid w:val="00387C5C"/>
    <w:rsid w:val="00391DBB"/>
    <w:rsid w:val="003A1CD0"/>
    <w:rsid w:val="003A74B8"/>
    <w:rsid w:val="003B1A04"/>
    <w:rsid w:val="003B2F99"/>
    <w:rsid w:val="003B4B44"/>
    <w:rsid w:val="003C0F17"/>
    <w:rsid w:val="003C21AE"/>
    <w:rsid w:val="003C56EC"/>
    <w:rsid w:val="003C5E21"/>
    <w:rsid w:val="003D3EFC"/>
    <w:rsid w:val="003E3C1F"/>
    <w:rsid w:val="003E600F"/>
    <w:rsid w:val="003F1991"/>
    <w:rsid w:val="003F3255"/>
    <w:rsid w:val="003F5791"/>
    <w:rsid w:val="003F7C5E"/>
    <w:rsid w:val="00401F6B"/>
    <w:rsid w:val="0040400A"/>
    <w:rsid w:val="00404E20"/>
    <w:rsid w:val="00405FC4"/>
    <w:rsid w:val="004208FD"/>
    <w:rsid w:val="0042138C"/>
    <w:rsid w:val="004266C0"/>
    <w:rsid w:val="00427053"/>
    <w:rsid w:val="00432684"/>
    <w:rsid w:val="00435A4D"/>
    <w:rsid w:val="00442FA0"/>
    <w:rsid w:val="00443D53"/>
    <w:rsid w:val="00444588"/>
    <w:rsid w:val="00466370"/>
    <w:rsid w:val="00484C9F"/>
    <w:rsid w:val="00486583"/>
    <w:rsid w:val="0048794A"/>
    <w:rsid w:val="004A0CF6"/>
    <w:rsid w:val="004A299D"/>
    <w:rsid w:val="004A2F57"/>
    <w:rsid w:val="004A3A88"/>
    <w:rsid w:val="004A4A96"/>
    <w:rsid w:val="004B1633"/>
    <w:rsid w:val="004B3EB0"/>
    <w:rsid w:val="004C0563"/>
    <w:rsid w:val="004C0BE3"/>
    <w:rsid w:val="004C3F9B"/>
    <w:rsid w:val="004C6DE4"/>
    <w:rsid w:val="004C6E68"/>
    <w:rsid w:val="004E5902"/>
    <w:rsid w:val="004F22B3"/>
    <w:rsid w:val="004F65CB"/>
    <w:rsid w:val="00514250"/>
    <w:rsid w:val="00536C45"/>
    <w:rsid w:val="0054582F"/>
    <w:rsid w:val="00556811"/>
    <w:rsid w:val="00560A47"/>
    <w:rsid w:val="00564699"/>
    <w:rsid w:val="0056732A"/>
    <w:rsid w:val="00570582"/>
    <w:rsid w:val="00575189"/>
    <w:rsid w:val="00577994"/>
    <w:rsid w:val="005803AB"/>
    <w:rsid w:val="005814DE"/>
    <w:rsid w:val="005826BC"/>
    <w:rsid w:val="00582B23"/>
    <w:rsid w:val="00590698"/>
    <w:rsid w:val="005913B2"/>
    <w:rsid w:val="00595C5C"/>
    <w:rsid w:val="005A290D"/>
    <w:rsid w:val="005A7EB2"/>
    <w:rsid w:val="005B02AD"/>
    <w:rsid w:val="005B4BAE"/>
    <w:rsid w:val="005D71F0"/>
    <w:rsid w:val="005D7A0C"/>
    <w:rsid w:val="005E4525"/>
    <w:rsid w:val="005E4FE6"/>
    <w:rsid w:val="005F08B6"/>
    <w:rsid w:val="005F7919"/>
    <w:rsid w:val="00622F4E"/>
    <w:rsid w:val="006257FF"/>
    <w:rsid w:val="00625D35"/>
    <w:rsid w:val="00627B6A"/>
    <w:rsid w:val="006445CA"/>
    <w:rsid w:val="00656961"/>
    <w:rsid w:val="0066160F"/>
    <w:rsid w:val="0066252D"/>
    <w:rsid w:val="00671388"/>
    <w:rsid w:val="00673C5E"/>
    <w:rsid w:val="006771C5"/>
    <w:rsid w:val="00680031"/>
    <w:rsid w:val="00681F9A"/>
    <w:rsid w:val="00694162"/>
    <w:rsid w:val="006942FF"/>
    <w:rsid w:val="006A282F"/>
    <w:rsid w:val="006A620A"/>
    <w:rsid w:val="006B373F"/>
    <w:rsid w:val="006B6D12"/>
    <w:rsid w:val="006B70A8"/>
    <w:rsid w:val="006C440D"/>
    <w:rsid w:val="006E25AF"/>
    <w:rsid w:val="006E2A36"/>
    <w:rsid w:val="006E55A5"/>
    <w:rsid w:val="006F16C9"/>
    <w:rsid w:val="00701011"/>
    <w:rsid w:val="00702452"/>
    <w:rsid w:val="00703805"/>
    <w:rsid w:val="0071471A"/>
    <w:rsid w:val="00716959"/>
    <w:rsid w:val="00717572"/>
    <w:rsid w:val="00723413"/>
    <w:rsid w:val="0072747D"/>
    <w:rsid w:val="0073154E"/>
    <w:rsid w:val="0073190A"/>
    <w:rsid w:val="00734B2C"/>
    <w:rsid w:val="007401B8"/>
    <w:rsid w:val="00745BD9"/>
    <w:rsid w:val="007504EB"/>
    <w:rsid w:val="00761976"/>
    <w:rsid w:val="00776B7D"/>
    <w:rsid w:val="00781CA5"/>
    <w:rsid w:val="007A5152"/>
    <w:rsid w:val="007A6494"/>
    <w:rsid w:val="007A7AD0"/>
    <w:rsid w:val="007B0E77"/>
    <w:rsid w:val="007B7968"/>
    <w:rsid w:val="007D210A"/>
    <w:rsid w:val="007D23A6"/>
    <w:rsid w:val="007E06B5"/>
    <w:rsid w:val="007E1C87"/>
    <w:rsid w:val="007E2A5B"/>
    <w:rsid w:val="007E3CFA"/>
    <w:rsid w:val="007E77C6"/>
    <w:rsid w:val="007F015E"/>
    <w:rsid w:val="007F329A"/>
    <w:rsid w:val="007F55E8"/>
    <w:rsid w:val="007F5CEE"/>
    <w:rsid w:val="007F7DE9"/>
    <w:rsid w:val="00801007"/>
    <w:rsid w:val="008016FA"/>
    <w:rsid w:val="00803E69"/>
    <w:rsid w:val="008044AC"/>
    <w:rsid w:val="00826EAE"/>
    <w:rsid w:val="00830ECF"/>
    <w:rsid w:val="008310D7"/>
    <w:rsid w:val="00834260"/>
    <w:rsid w:val="008346CD"/>
    <w:rsid w:val="00834F2B"/>
    <w:rsid w:val="00845F3C"/>
    <w:rsid w:val="00847102"/>
    <w:rsid w:val="00880C08"/>
    <w:rsid w:val="008828D6"/>
    <w:rsid w:val="00882A79"/>
    <w:rsid w:val="00891968"/>
    <w:rsid w:val="00897387"/>
    <w:rsid w:val="008A1D06"/>
    <w:rsid w:val="008A2A6F"/>
    <w:rsid w:val="008B3A78"/>
    <w:rsid w:val="008B4D58"/>
    <w:rsid w:val="008C133D"/>
    <w:rsid w:val="008D1FC4"/>
    <w:rsid w:val="008D6B84"/>
    <w:rsid w:val="008F7962"/>
    <w:rsid w:val="0090270E"/>
    <w:rsid w:val="00902BE9"/>
    <w:rsid w:val="00924191"/>
    <w:rsid w:val="00926494"/>
    <w:rsid w:val="00936F5D"/>
    <w:rsid w:val="009475EE"/>
    <w:rsid w:val="0095592D"/>
    <w:rsid w:val="009622C9"/>
    <w:rsid w:val="00966C5E"/>
    <w:rsid w:val="00967B26"/>
    <w:rsid w:val="00984FD1"/>
    <w:rsid w:val="009908A1"/>
    <w:rsid w:val="00995BDF"/>
    <w:rsid w:val="009968A3"/>
    <w:rsid w:val="009A058B"/>
    <w:rsid w:val="009B54C2"/>
    <w:rsid w:val="009C42D0"/>
    <w:rsid w:val="009D36E5"/>
    <w:rsid w:val="009D74EF"/>
    <w:rsid w:val="009F7B99"/>
    <w:rsid w:val="00A06CC2"/>
    <w:rsid w:val="00A109C2"/>
    <w:rsid w:val="00A13346"/>
    <w:rsid w:val="00A23592"/>
    <w:rsid w:val="00A23DB0"/>
    <w:rsid w:val="00A27EFB"/>
    <w:rsid w:val="00A33C9B"/>
    <w:rsid w:val="00A34008"/>
    <w:rsid w:val="00A44CB1"/>
    <w:rsid w:val="00A54026"/>
    <w:rsid w:val="00A61084"/>
    <w:rsid w:val="00A624C3"/>
    <w:rsid w:val="00A7062F"/>
    <w:rsid w:val="00A72233"/>
    <w:rsid w:val="00A73839"/>
    <w:rsid w:val="00A742B8"/>
    <w:rsid w:val="00A81F94"/>
    <w:rsid w:val="00A8354F"/>
    <w:rsid w:val="00A83AC0"/>
    <w:rsid w:val="00A84AD6"/>
    <w:rsid w:val="00A86ACD"/>
    <w:rsid w:val="00A97BAB"/>
    <w:rsid w:val="00AB0F2F"/>
    <w:rsid w:val="00AB0FFD"/>
    <w:rsid w:val="00AB20DD"/>
    <w:rsid w:val="00AC71C5"/>
    <w:rsid w:val="00AC7317"/>
    <w:rsid w:val="00AD01D7"/>
    <w:rsid w:val="00AD32EE"/>
    <w:rsid w:val="00AD784B"/>
    <w:rsid w:val="00AE399D"/>
    <w:rsid w:val="00B00072"/>
    <w:rsid w:val="00B018BF"/>
    <w:rsid w:val="00B01DD4"/>
    <w:rsid w:val="00B04F54"/>
    <w:rsid w:val="00B14E6D"/>
    <w:rsid w:val="00B20AC0"/>
    <w:rsid w:val="00B21012"/>
    <w:rsid w:val="00B33273"/>
    <w:rsid w:val="00B373CA"/>
    <w:rsid w:val="00B4125C"/>
    <w:rsid w:val="00B503BB"/>
    <w:rsid w:val="00B50EFF"/>
    <w:rsid w:val="00B545FE"/>
    <w:rsid w:val="00B558E2"/>
    <w:rsid w:val="00B61170"/>
    <w:rsid w:val="00B65A1F"/>
    <w:rsid w:val="00B6608A"/>
    <w:rsid w:val="00B6616C"/>
    <w:rsid w:val="00B668F4"/>
    <w:rsid w:val="00B718C6"/>
    <w:rsid w:val="00B72AB2"/>
    <w:rsid w:val="00B76424"/>
    <w:rsid w:val="00B77A7A"/>
    <w:rsid w:val="00B81899"/>
    <w:rsid w:val="00B81E7F"/>
    <w:rsid w:val="00B84C09"/>
    <w:rsid w:val="00B86DCC"/>
    <w:rsid w:val="00B90865"/>
    <w:rsid w:val="00B9129C"/>
    <w:rsid w:val="00B9631B"/>
    <w:rsid w:val="00BA5B8F"/>
    <w:rsid w:val="00BB2FE5"/>
    <w:rsid w:val="00BD2534"/>
    <w:rsid w:val="00BD2934"/>
    <w:rsid w:val="00BD64C6"/>
    <w:rsid w:val="00BF0082"/>
    <w:rsid w:val="00BF646D"/>
    <w:rsid w:val="00BF67D8"/>
    <w:rsid w:val="00C04008"/>
    <w:rsid w:val="00C105E3"/>
    <w:rsid w:val="00C12DAD"/>
    <w:rsid w:val="00C15D8C"/>
    <w:rsid w:val="00C2161E"/>
    <w:rsid w:val="00C2253D"/>
    <w:rsid w:val="00C332BE"/>
    <w:rsid w:val="00C41B36"/>
    <w:rsid w:val="00C43D86"/>
    <w:rsid w:val="00C47F39"/>
    <w:rsid w:val="00C54CF3"/>
    <w:rsid w:val="00C74553"/>
    <w:rsid w:val="00C83F04"/>
    <w:rsid w:val="00C904DB"/>
    <w:rsid w:val="00C93E69"/>
    <w:rsid w:val="00C96D67"/>
    <w:rsid w:val="00CA138C"/>
    <w:rsid w:val="00CB36E2"/>
    <w:rsid w:val="00CB41B6"/>
    <w:rsid w:val="00CC4B64"/>
    <w:rsid w:val="00CC4F6B"/>
    <w:rsid w:val="00CD76BB"/>
    <w:rsid w:val="00CE3AED"/>
    <w:rsid w:val="00D05A5E"/>
    <w:rsid w:val="00D12A31"/>
    <w:rsid w:val="00D24279"/>
    <w:rsid w:val="00D25A9F"/>
    <w:rsid w:val="00D32ACC"/>
    <w:rsid w:val="00D370BA"/>
    <w:rsid w:val="00D6180C"/>
    <w:rsid w:val="00D61E22"/>
    <w:rsid w:val="00D62330"/>
    <w:rsid w:val="00D63C56"/>
    <w:rsid w:val="00D66EB0"/>
    <w:rsid w:val="00D72ACE"/>
    <w:rsid w:val="00D72E89"/>
    <w:rsid w:val="00D754E9"/>
    <w:rsid w:val="00D80418"/>
    <w:rsid w:val="00D81965"/>
    <w:rsid w:val="00DA7F03"/>
    <w:rsid w:val="00DB3615"/>
    <w:rsid w:val="00DC049C"/>
    <w:rsid w:val="00DC274E"/>
    <w:rsid w:val="00DD5ABB"/>
    <w:rsid w:val="00DD65D5"/>
    <w:rsid w:val="00DE1611"/>
    <w:rsid w:val="00E10BB3"/>
    <w:rsid w:val="00E220FC"/>
    <w:rsid w:val="00E30FB1"/>
    <w:rsid w:val="00E31985"/>
    <w:rsid w:val="00E31E31"/>
    <w:rsid w:val="00E349B8"/>
    <w:rsid w:val="00E36B06"/>
    <w:rsid w:val="00E42A30"/>
    <w:rsid w:val="00E552BC"/>
    <w:rsid w:val="00E56E2E"/>
    <w:rsid w:val="00E5723A"/>
    <w:rsid w:val="00E60085"/>
    <w:rsid w:val="00E86555"/>
    <w:rsid w:val="00E92BAA"/>
    <w:rsid w:val="00E97EFA"/>
    <w:rsid w:val="00EA43CA"/>
    <w:rsid w:val="00EA493C"/>
    <w:rsid w:val="00EA63C0"/>
    <w:rsid w:val="00EB67FD"/>
    <w:rsid w:val="00EC5619"/>
    <w:rsid w:val="00EC5EB0"/>
    <w:rsid w:val="00EC7F2F"/>
    <w:rsid w:val="00EE397D"/>
    <w:rsid w:val="00EE3B7C"/>
    <w:rsid w:val="00EF5DCF"/>
    <w:rsid w:val="00EF674E"/>
    <w:rsid w:val="00F037B2"/>
    <w:rsid w:val="00F039E9"/>
    <w:rsid w:val="00F046C7"/>
    <w:rsid w:val="00F0531D"/>
    <w:rsid w:val="00F12A2C"/>
    <w:rsid w:val="00F12C50"/>
    <w:rsid w:val="00F143DD"/>
    <w:rsid w:val="00F2086E"/>
    <w:rsid w:val="00F27CBF"/>
    <w:rsid w:val="00F27F52"/>
    <w:rsid w:val="00F42AD2"/>
    <w:rsid w:val="00F44C79"/>
    <w:rsid w:val="00F47269"/>
    <w:rsid w:val="00F52F90"/>
    <w:rsid w:val="00F55B49"/>
    <w:rsid w:val="00F56311"/>
    <w:rsid w:val="00F60FE6"/>
    <w:rsid w:val="00F62294"/>
    <w:rsid w:val="00F70550"/>
    <w:rsid w:val="00F715E0"/>
    <w:rsid w:val="00F752DB"/>
    <w:rsid w:val="00F81DE9"/>
    <w:rsid w:val="00F84FC7"/>
    <w:rsid w:val="00F905BC"/>
    <w:rsid w:val="00F92AF4"/>
    <w:rsid w:val="00F968FE"/>
    <w:rsid w:val="00FA3955"/>
    <w:rsid w:val="00FB0176"/>
    <w:rsid w:val="00FB12FC"/>
    <w:rsid w:val="00FB1DCF"/>
    <w:rsid w:val="00FC2A35"/>
    <w:rsid w:val="00FC56A6"/>
    <w:rsid w:val="00FD0026"/>
    <w:rsid w:val="00FD78BB"/>
    <w:rsid w:val="00FF3719"/>
    <w:rsid w:val="00FF4E52"/>
    <w:rsid w:val="0AC0F3E4"/>
    <w:rsid w:val="26AF7EFE"/>
    <w:rsid w:val="774FF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5E0C3"/>
  <w15:chartTrackingRefBased/>
  <w15:docId w15:val="{7C0CA1C9-2986-41B3-8621-EFDAB6B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E1"/>
    <w:pPr>
      <w:spacing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ACC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color w:val="B219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3CA"/>
    <w:pPr>
      <w:keepNext/>
      <w:keepLines/>
      <w:spacing w:before="120" w:after="120" w:line="240" w:lineRule="auto"/>
      <w:outlineLvl w:val="1"/>
    </w:pPr>
    <w:rPr>
      <w:rFonts w:eastAsiaTheme="majorEastAsia" w:cstheme="majorBidi"/>
      <w:color w:val="60605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611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3CA"/>
    <w:pPr>
      <w:keepNext/>
      <w:keepLines/>
      <w:spacing w:before="120" w:after="120" w:line="240" w:lineRule="auto"/>
      <w:outlineLvl w:val="3"/>
    </w:pPr>
    <w:rPr>
      <w:rFonts w:eastAsiaTheme="majorEastAsia" w:cstheme="majorBidi"/>
      <w:iCs/>
      <w:color w:val="B21936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3CA"/>
    <w:pPr>
      <w:keepNext/>
      <w:keepLines/>
      <w:spacing w:before="120" w:after="120" w:line="240" w:lineRule="auto"/>
      <w:outlineLvl w:val="4"/>
    </w:pPr>
    <w:rPr>
      <w:rFonts w:eastAsiaTheme="majorEastAsia" w:cstheme="majorBidi"/>
      <w:b/>
      <w:color w:val="37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32ACC"/>
    <w:rPr>
      <w:rFonts w:ascii="Arial" w:eastAsiaTheme="majorEastAsia" w:hAnsi="Arial" w:cstheme="majorBidi"/>
      <w:b/>
      <w:color w:val="B219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3CA"/>
    <w:rPr>
      <w:rFonts w:ascii="Arial" w:eastAsiaTheme="majorEastAsia" w:hAnsi="Arial" w:cstheme="majorBidi"/>
      <w:color w:val="60605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1611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73CA"/>
    <w:rPr>
      <w:rFonts w:ascii="Arial" w:eastAsiaTheme="majorEastAsia" w:hAnsi="Arial" w:cstheme="majorBidi"/>
      <w:iCs/>
      <w:color w:val="B219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73CA"/>
    <w:rPr>
      <w:rFonts w:ascii="Arial" w:eastAsiaTheme="majorEastAsia" w:hAnsi="Arial" w:cstheme="majorBidi"/>
      <w:b/>
      <w:color w:val="37363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E7E00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E00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E00"/>
    <w:pPr>
      <w:numPr>
        <w:ilvl w:val="1"/>
      </w:numPr>
      <w:spacing w:before="240" w:after="240" w:line="380" w:lineRule="exact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E7E00"/>
    <w:rPr>
      <w:rFonts w:ascii="Arial" w:eastAsiaTheme="minorEastAsia" w:hAnsi="Arial"/>
      <w:color w:val="FFFFFF" w:themeColor="background1"/>
      <w:spacing w:val="15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A7F"/>
    <w:pPr>
      <w:pBdr>
        <w:top w:val="single" w:sz="4" w:space="10" w:color="A70240"/>
        <w:bottom w:val="single" w:sz="4" w:space="10" w:color="A70240"/>
      </w:pBdr>
      <w:spacing w:before="120" w:after="120"/>
      <w:ind w:left="862" w:right="862"/>
      <w:jc w:val="center"/>
    </w:pPr>
    <w:rPr>
      <w:iCs/>
      <w:color w:val="A702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A7F"/>
    <w:rPr>
      <w:rFonts w:ascii="Arial" w:hAnsi="Arial"/>
      <w:iCs/>
      <w:color w:val="A70240"/>
      <w:sz w:val="20"/>
    </w:rPr>
  </w:style>
  <w:style w:type="character" w:styleId="Hyperlink">
    <w:name w:val="Hyperlink"/>
    <w:basedOn w:val="DefaultParagraphFont"/>
    <w:uiPriority w:val="99"/>
    <w:unhideWhenUsed/>
    <w:rsid w:val="002A536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6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34F2B"/>
    <w:pPr>
      <w:spacing w:after="12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34F2B"/>
    <w:rPr>
      <w:rFonts w:ascii="Arial" w:eastAsia="Times New Roman" w:hAnsi="Arial" w:cs="Times New Roman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rsid w:val="00834F2B"/>
    <w:pPr>
      <w:tabs>
        <w:tab w:val="left" w:pos="709"/>
        <w:tab w:val="right" w:leader="dot" w:pos="9605"/>
      </w:tabs>
      <w:spacing w:before="120" w:after="0" w:line="240" w:lineRule="auto"/>
    </w:pPr>
    <w:rPr>
      <w:rFonts w:asciiTheme="minorHAnsi" w:eastAsiaTheme="majorEastAsia" w:hAnsiTheme="minorHAnsi" w:cstheme="minorHAnsi"/>
      <w:i/>
      <w:iCs/>
      <w:noProof/>
      <w:color w:val="A70240"/>
      <w:sz w:val="24"/>
      <w:szCs w:val="24"/>
      <w:lang w:eastAsia="en-AU"/>
    </w:rPr>
  </w:style>
  <w:style w:type="paragraph" w:styleId="TOC2">
    <w:name w:val="toc 2"/>
    <w:basedOn w:val="TOC1"/>
    <w:next w:val="Normal"/>
    <w:autoRedefine/>
    <w:uiPriority w:val="39"/>
    <w:rsid w:val="00834F2B"/>
    <w:pPr>
      <w:spacing w:after="120" w:line="280" w:lineRule="atLeast"/>
      <w:ind w:left="220"/>
    </w:pPr>
    <w:rPr>
      <w:rFonts w:ascii="Arial" w:hAnsi="Arial" w:cs="Arial"/>
      <w:i w:val="0"/>
      <w:iCs w:val="0"/>
      <w:color w:val="595959" w:themeColor="text1" w:themeTint="A6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4F2B"/>
    <w:pPr>
      <w:spacing w:before="480" w:after="0" w:line="480" w:lineRule="auto"/>
      <w:ind w:left="360" w:hanging="360"/>
      <w:jc w:val="both"/>
      <w:outlineLvl w:val="9"/>
    </w:pPr>
    <w:rPr>
      <w:rFonts w:asciiTheme="majorHAnsi" w:hAnsiTheme="majorHAnsi"/>
      <w:b w:val="0"/>
      <w:bCs/>
      <w:color w:val="7C012F" w:themeColor="accent1" w:themeShade="BF"/>
      <w:sz w:val="28"/>
      <w:szCs w:val="28"/>
      <w:lang w:eastAsia="en-AU"/>
    </w:rPr>
  </w:style>
  <w:style w:type="paragraph" w:customStyle="1" w:styleId="BDOBodytext">
    <w:name w:val="BDO_Body text"/>
    <w:qFormat/>
    <w:rsid w:val="007F55E8"/>
    <w:pPr>
      <w:spacing w:after="120" w:line="280" w:lineRule="atLeast"/>
    </w:pPr>
    <w:rPr>
      <w:rFonts w:ascii="Trebuchet MS" w:eastAsia="Times New Roman" w:hAnsi="Trebuchet MS" w:cs="Arial"/>
      <w:color w:val="44546A" w:themeColor="text2"/>
      <w:sz w:val="20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A7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2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2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23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thicalsupply@epw.ql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calsupply@epw.qld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DEBBEC39346DC9D930D24F33D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A43-2769-4163-86C6-FDF79682FD2D}"/>
      </w:docPartPr>
      <w:docPartBody>
        <w:p w:rsidR="00122C62" w:rsidRDefault="00F0531D" w:rsidP="00F0531D">
          <w:pPr>
            <w:pStyle w:val="D5BDEBBEC39346DC9D930D24F33D7B7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122C62"/>
    <w:rsid w:val="001A18EC"/>
    <w:rsid w:val="001C502C"/>
    <w:rsid w:val="003D289D"/>
    <w:rsid w:val="005C7051"/>
    <w:rsid w:val="00631149"/>
    <w:rsid w:val="00653772"/>
    <w:rsid w:val="00910051"/>
    <w:rsid w:val="009D7C26"/>
    <w:rsid w:val="009E3A00"/>
    <w:rsid w:val="00C56EB3"/>
    <w:rsid w:val="00F0531D"/>
    <w:rsid w:val="00F10ECD"/>
    <w:rsid w:val="00FA31CC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HPW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007681"/>
      </a:accent2>
      <a:accent3>
        <a:srgbClr val="8E3493"/>
      </a:accent3>
      <a:accent4>
        <a:srgbClr val="F2612A"/>
      </a:accent4>
      <a:accent5>
        <a:srgbClr val="F7A52A"/>
      </a:accent5>
      <a:accent6>
        <a:srgbClr val="01B5BB"/>
      </a:accent6>
      <a:hlink>
        <a:srgbClr val="00768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Officer xmlns="4789e018-8bd7-4de6-bcbe-3f0737e6d188">
      <UserInfo>
        <DisplayName/>
        <AccountId xsi:nil="true"/>
        <AccountType/>
      </UserInfo>
    </ResponsibleOffic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C5DBD0C303044BE81A728B4BDC32F" ma:contentTypeVersion="12" ma:contentTypeDescription="Create a new document." ma:contentTypeScope="" ma:versionID="b7cd59f81232e9e395decda58630608c">
  <xsd:schema xmlns:xsd="http://www.w3.org/2001/XMLSchema" xmlns:xs="http://www.w3.org/2001/XMLSchema" xmlns:p="http://schemas.microsoft.com/office/2006/metadata/properties" xmlns:ns2="4789e018-8bd7-4de6-bcbe-3f0737e6d188" xmlns:ns3="7e3aca9d-d4eb-4254-a437-6bb7f1b28d83" targetNamespace="http://schemas.microsoft.com/office/2006/metadata/properties" ma:root="true" ma:fieldsID="8059693477ff5d386a1bb8d1f8b8dde3" ns2:_="" ns3:_="">
    <xsd:import namespace="4789e018-8bd7-4de6-bcbe-3f0737e6d188"/>
    <xsd:import namespace="7e3aca9d-d4eb-4254-a437-6bb7f1b28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Responsible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e018-8bd7-4de6-bcbe-3f0737e6d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sponsibleOfficer" ma:index="19" nillable="true" ma:displayName="Responsible Officer " ma:description="Person responsible for this action " ma:format="Dropdown" ma:list="UserInfo" ma:SharePointGroup="0" ma:internalName="Responsibl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ca9d-d4eb-4254-a437-6bb7f1b28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2864-7A5C-48C6-9AF0-3CCE6B3CFA87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4789e018-8bd7-4de6-bcbe-3f0737e6d188"/>
    <ds:schemaRef ds:uri="http://schemas.openxmlformats.org/package/2006/metadata/core-properties"/>
    <ds:schemaRef ds:uri="7e3aca9d-d4eb-4254-a437-6bb7f1b28d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AFBB05-D46C-4ED7-8B24-21FA830E9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9e018-8bd7-4de6-bcbe-3f0737e6d188"/>
    <ds:schemaRef ds:uri="7e3aca9d-d4eb-4254-a437-6bb7f1b28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D87B4-DEAF-4A83-B580-58F75F92F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70DDD-2F04-4F8B-95FA-349A0C4D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 Notices – templates package</vt:lpstr>
    </vt:vector>
  </TitlesOfParts>
  <Company>Department of Housing and Public Works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 Circumstances Notice – Ethical Supplier Mandate and Threshold</dc:title>
  <dc:subject/>
  <dc:creator>Department of Energy and Public Works</dc:creator>
  <cp:keywords>template, document, cover, A4</cp:keywords>
  <dc:description>A4 portrait template for HPW documents</dc:description>
  <cp:lastModifiedBy>Kelli</cp:lastModifiedBy>
  <cp:revision>2</cp:revision>
  <cp:lastPrinted>2018-10-31T09:25:00Z</cp:lastPrinted>
  <dcterms:created xsi:type="dcterms:W3CDTF">2022-03-21T05:52:00Z</dcterms:created>
  <dcterms:modified xsi:type="dcterms:W3CDTF">2022-03-21T05:52:00Z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0x010100667C5DBD0C303044BE81A728B4BDC32F</vt:lpwstr>
  </property>
  <property fmtid="{D5CDD505-2E9C-101B-9397-08002B2CF9AE}" pid="3" name="TaxKeyword">
    <vt:lpwstr>2700;#cover|a0e29c38-ede7-4d93-984f-904627b60d9f;#404;#a4|28079928-679d-48a2-8883-835d1d514c3f;#183;#Template|4cae74c2-1c99-4c44-96e5-6902aebf4c10;#427;#document|0560fe81-d13d-4d41-b61f-4823a1e8cbd2</vt:lpwstr>
  </property>
</Properties>
</file>